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2514600" cy="2530336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fortaleza_europa_logo_corregido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514600" cy="2530336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b/>
          <w:i w:val="0"/>
          <w:color w:val="233B5F"/>
          <w:sz w:val="48"/>
        </w:rPr>
        <w:t>PROGRAMA DE GOBIERNO 2027</w:t>
      </w:r>
    </w:p>
    <w:p>
      <w:pPr>
        <w:jc w:val="center"/>
      </w:pPr>
      <w:r>
        <w:rPr>
          <w:b w:val="0"/>
          <w:i w:val="0"/>
          <w:color w:val="7E2E35"/>
          <w:sz w:val="24"/>
        </w:rPr>
        <w:t>100 medidas para una España con alma y una Europa con misión</w:t>
      </w:r>
    </w:p>
    <w:p>
      <w:pPr>
        <w:jc w:val="center"/>
      </w:pPr>
      <w:r>
        <w:rPr>
          <w:b/>
          <w:i w:val="0"/>
          <w:color w:val="CFA96E"/>
          <w:sz w:val="26"/>
        </w:rPr>
        <w:t>FORTALEZA EUROPA</w:t>
      </w:r>
    </w:p>
    <w:p>
      <w:pPr>
        <w:jc w:val="center"/>
      </w:pPr>
      <w:r>
        <w:rPr>
          <w:b w:val="0"/>
          <w:i w:val="0"/>
          <w:color w:val="5A6473"/>
          <w:sz w:val="18"/>
        </w:rPr>
        <w:t>Documento de campaña para elecciones generales al Gobierno de España</w:t>
      </w:r>
    </w:p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033"/>
        <w:gridCol w:w="2033"/>
        <w:gridCol w:w="2033"/>
        <w:gridCol w:w="2033"/>
        <w:gridCol w:w="2033"/>
      </w:tblGrid>
      <w:tr>
        <w:tc>
          <w:tcPr>
            <w:tcW w:type="dxa" w:w="1786"/>
            <w:shd w:fill="233B5F"/>
            <w:tcMar>
              <w:top w:w="120" w:type="dxa"/>
              <w:start w:w="80" w:type="dxa"/>
              <w:bottom w:w="120" w:type="dxa"/>
              <w:end w:w="80" w:type="dxa"/>
            </w:tcMar>
            <w:tcBorders>
              <w:top w:val="nil"/>
              <w:start w:val="nil"/>
              <w:bottom w:val="nil"/>
              <w:end w:val="nil"/>
              <w:insideH w:val="nil"/>
              <w:insideV w:val="nil"/>
            </w:tcBorders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17"/>
              </w:rPr>
              <w:t>ESTADO</w:t>
            </w:r>
          </w:p>
        </w:tc>
        <w:tc>
          <w:tcPr>
            <w:tcW w:type="dxa" w:w="1786"/>
            <w:shd w:fill="7E2E35"/>
            <w:tcMar>
              <w:top w:w="120" w:type="dxa"/>
              <w:start w:w="80" w:type="dxa"/>
              <w:bottom w:w="120" w:type="dxa"/>
              <w:end w:w="80" w:type="dxa"/>
            </w:tcMar>
            <w:tcBorders>
              <w:top w:val="nil"/>
              <w:start w:val="nil"/>
              <w:bottom w:val="nil"/>
              <w:end w:val="nil"/>
              <w:insideH w:val="nil"/>
              <w:insideV w:val="nil"/>
            </w:tcBorders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17"/>
              </w:rPr>
              <w:t>NACIÓN</w:t>
            </w:r>
          </w:p>
        </w:tc>
        <w:tc>
          <w:tcPr>
            <w:tcW w:type="dxa" w:w="1786"/>
            <w:shd w:fill="233B5F"/>
            <w:tcMar>
              <w:top w:w="120" w:type="dxa"/>
              <w:start w:w="80" w:type="dxa"/>
              <w:bottom w:w="120" w:type="dxa"/>
              <w:end w:w="80" w:type="dxa"/>
            </w:tcMar>
            <w:tcBorders>
              <w:top w:val="nil"/>
              <w:start w:val="nil"/>
              <w:bottom w:val="nil"/>
              <w:end w:val="nil"/>
              <w:insideH w:val="nil"/>
              <w:insideV w:val="nil"/>
            </w:tcBorders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17"/>
              </w:rPr>
              <w:t>EUROPA</w:t>
            </w:r>
          </w:p>
        </w:tc>
        <w:tc>
          <w:tcPr>
            <w:tcW w:type="dxa" w:w="1786"/>
            <w:shd w:fill="7E2E35"/>
            <w:tcMar>
              <w:top w:w="120" w:type="dxa"/>
              <w:start w:w="80" w:type="dxa"/>
              <w:bottom w:w="120" w:type="dxa"/>
              <w:end w:w="80" w:type="dxa"/>
            </w:tcMar>
            <w:tcBorders>
              <w:top w:val="nil"/>
              <w:start w:val="nil"/>
              <w:bottom w:val="nil"/>
              <w:end w:val="nil"/>
              <w:insideH w:val="nil"/>
              <w:insideV w:val="nil"/>
            </w:tcBorders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17"/>
              </w:rPr>
              <w:t>EDUCACIÓN</w:t>
            </w:r>
          </w:p>
        </w:tc>
        <w:tc>
          <w:tcPr>
            <w:tcW w:type="dxa" w:w="1786"/>
            <w:shd w:fill="233B5F"/>
            <w:tcMar>
              <w:top w:w="120" w:type="dxa"/>
              <w:start w:w="80" w:type="dxa"/>
              <w:bottom w:w="120" w:type="dxa"/>
              <w:end w:w="80" w:type="dxa"/>
            </w:tcMar>
            <w:tcBorders>
              <w:top w:val="nil"/>
              <w:start w:val="nil"/>
              <w:bottom w:val="nil"/>
              <w:end w:val="nil"/>
              <w:insideH w:val="nil"/>
              <w:insideV w:val="nil"/>
            </w:tcBorders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17"/>
              </w:rPr>
              <w:t>ECONOMÍA</w:t>
            </w:r>
          </w:p>
        </w:tc>
      </w:tr>
    </w:tbl>
    <w:p>
      <w:pPr>
        <w:jc w:val="center"/>
      </w:pPr>
      <w:r>
        <w:rPr>
          <w:b w:val="0"/>
          <w:i w:val="0"/>
          <w:color w:val="6B7280"/>
          <w:sz w:val="16"/>
        </w:rPr>
        <w:t>Versión institucional ampliada - 2027</w:t>
      </w:r>
    </w:p>
    <w:p>
      <w:r>
        <w:br w:type="page"/>
      </w:r>
    </w:p>
    <w:p>
      <w:pPr>
        <w:pStyle w:val="Heading1"/>
      </w:pPr>
      <w:r>
        <w:t>Síntesis ejecutiva</w:t>
      </w:r>
    </w:p>
    <w:p>
      <w:pPr>
        <w:spacing w:after="120"/>
      </w:pPr>
      <w:r>
        <w:rPr>
          <w:b/>
          <w:i w:val="0"/>
          <w:color w:val="233B5F"/>
        </w:rPr>
        <w:t>Fortaleza Europa</w:t>
      </w:r>
      <w:r>
        <w:rPr>
          <w:b w:val="0"/>
          <w:i w:val="0"/>
        </w:rPr>
        <w:t xml:space="preserve"> articula su propuesta de gobierno en cinco pilares: reforma ética del Estado, cohesión nacional, misión europea, excelencia educativa y fortaleza económica con soberanía energética. Este documento desarrolla esos pilares en 100 medidas programáticas diseñadas para una legislatura 2027-2031.</w:t>
      </w:r>
    </w:p>
    <w:p>
      <w:r>
        <w:rPr>
          <w:b/>
          <w:i w:val="0"/>
          <w:color w:val="7E2E35"/>
        </w:rPr>
        <w:t xml:space="preserve">Criterio de realismo: </w:t>
      </w:r>
      <w:r>
        <w:rPr>
          <w:b w:val="0"/>
          <w:i w:val="0"/>
        </w:rPr>
        <w:t>cada medida se formula para ser defendible en campaña, tramitable jurídicamente, compatible con el marco constitucional y europeo, y evaluable mediante indicadores públicos.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296"/>
        <w:gridCol w:w="3168"/>
        <w:gridCol w:w="2880"/>
        <w:gridCol w:w="1728"/>
      </w:tblGrid>
      <w:tr>
        <w:tc>
          <w:tcPr>
            <w:tcW w:type="dxa" w:w="2541"/>
            <w:shd w:fill="233B5F"/>
            <w:tcMar>
              <w:top w:w="100" w:type="dxa"/>
              <w:start w:w="80" w:type="dxa"/>
              <w:bottom w:w="100" w:type="dxa"/>
              <w:end w:w="80" w:type="dxa"/>
            </w:tcMar>
          </w:tcPr>
          <w:p>
            <w:r>
              <w:rPr>
                <w:b/>
                <w:i w:val="0"/>
                <w:color w:val="FFFFFF"/>
                <w:sz w:val="16"/>
              </w:rPr>
              <w:t>Pilar</w:t>
            </w:r>
          </w:p>
        </w:tc>
        <w:tc>
          <w:tcPr>
            <w:tcW w:type="dxa" w:w="2541"/>
            <w:shd w:fill="233B5F"/>
            <w:tcMar>
              <w:top w:w="100" w:type="dxa"/>
              <w:start w:w="80" w:type="dxa"/>
              <w:bottom w:w="100" w:type="dxa"/>
              <w:end w:w="80" w:type="dxa"/>
            </w:tcMar>
          </w:tcPr>
          <w:p>
            <w:r>
              <w:rPr>
                <w:b/>
                <w:i w:val="0"/>
                <w:color w:val="FFFFFF"/>
                <w:sz w:val="16"/>
              </w:rPr>
              <w:t>Objetivo</w:t>
            </w:r>
          </w:p>
        </w:tc>
        <w:tc>
          <w:tcPr>
            <w:tcW w:type="dxa" w:w="2541"/>
            <w:shd w:fill="233B5F"/>
            <w:tcMar>
              <w:top w:w="100" w:type="dxa"/>
              <w:start w:w="80" w:type="dxa"/>
              <w:bottom w:w="100" w:type="dxa"/>
              <w:end w:w="80" w:type="dxa"/>
            </w:tcMar>
          </w:tcPr>
          <w:p>
            <w:r>
              <w:rPr>
                <w:b/>
                <w:i w:val="0"/>
                <w:color w:val="FFFFFF"/>
                <w:sz w:val="16"/>
              </w:rPr>
              <w:t>Instrumento</w:t>
            </w:r>
          </w:p>
        </w:tc>
        <w:tc>
          <w:tcPr>
            <w:tcW w:type="dxa" w:w="2541"/>
            <w:shd w:fill="233B5F"/>
            <w:tcMar>
              <w:top w:w="100" w:type="dxa"/>
              <w:start w:w="80" w:type="dxa"/>
              <w:bottom w:w="100" w:type="dxa"/>
              <w:end w:w="80" w:type="dxa"/>
            </w:tcMar>
          </w:tcPr>
          <w:p>
            <w:r>
              <w:rPr>
                <w:b/>
                <w:i w:val="0"/>
                <w:color w:val="FFFFFF"/>
                <w:sz w:val="16"/>
              </w:rPr>
              <w:t>Medidas</w:t>
            </w:r>
          </w:p>
        </w:tc>
      </w:tr>
      <w:tr>
        <w:tc>
          <w:tcPr>
            <w:tcW w:type="dxa" w:w="1296"/>
            <w:tcMar>
              <w:top w:w="90" w:type="dxa"/>
              <w:start w:w="70" w:type="dxa"/>
              <w:bottom w:w="90" w:type="dxa"/>
              <w:end w:w="70" w:type="dxa"/>
            </w:tcMar>
            <w:tcBorders>
              <w:bottom w:sz="4" w:val="single" w:color="D9DEE8"/>
            </w:tcBorders>
            <w:shd w:fill="F7F4ED"/>
          </w:tcPr>
          <w:p>
            <w:pPr>
              <w:jc w:val="center"/>
            </w:pPr>
            <w:r>
              <w:rPr>
                <w:b/>
                <w:i w:val="0"/>
                <w:color w:val="233B5F"/>
                <w:sz w:val="17"/>
              </w:rPr>
              <w:t>I</w:t>
            </w:r>
          </w:p>
        </w:tc>
        <w:tc>
          <w:tcPr>
            <w:tcW w:type="dxa" w:w="3168"/>
            <w:tcMar>
              <w:top w:w="90" w:type="dxa"/>
              <w:start w:w="70" w:type="dxa"/>
              <w:bottom w:w="90" w:type="dxa"/>
              <w:end w:w="70" w:type="dxa"/>
            </w:tcMar>
            <w:tcBorders>
              <w:bottom w:sz="4" w:val="single" w:color="D9DEE8"/>
            </w:tcBorders>
          </w:tcPr>
          <w:p>
            <w:r>
              <w:rPr>
                <w:b w:val="0"/>
                <w:i w:val="0"/>
                <w:color w:val="1F2933"/>
                <w:sz w:val="16"/>
              </w:rPr>
              <w:t>Regenerar el Estado</w:t>
            </w:r>
          </w:p>
        </w:tc>
        <w:tc>
          <w:tcPr>
            <w:tcW w:type="dxa" w:w="2880"/>
            <w:tcMar>
              <w:top w:w="90" w:type="dxa"/>
              <w:start w:w="70" w:type="dxa"/>
              <w:bottom w:w="90" w:type="dxa"/>
              <w:end w:w="70" w:type="dxa"/>
            </w:tcMar>
            <w:tcBorders>
              <w:bottom w:sz="4" w:val="single" w:color="D9DEE8"/>
            </w:tcBorders>
          </w:tcPr>
          <w:p>
            <w:r>
              <w:rPr>
                <w:b w:val="0"/>
                <w:i w:val="0"/>
                <w:color w:val="1F2933"/>
                <w:sz w:val="16"/>
              </w:rPr>
              <w:t>Integridad, mérito y justicia independiente</w:t>
            </w:r>
          </w:p>
        </w:tc>
        <w:tc>
          <w:tcPr>
            <w:tcW w:type="dxa" w:w="1728"/>
            <w:tcMar>
              <w:top w:w="90" w:type="dxa"/>
              <w:start w:w="70" w:type="dxa"/>
              <w:bottom w:w="90" w:type="dxa"/>
              <w:end w:w="70" w:type="dxa"/>
            </w:tcMar>
            <w:tcBorders>
              <w:bottom w:sz="4" w:val="single" w:color="D9DEE8"/>
            </w:tcBorders>
          </w:tcPr>
          <w:p>
            <w:r>
              <w:rPr>
                <w:b w:val="0"/>
                <w:i w:val="0"/>
                <w:color w:val="1F2933"/>
                <w:sz w:val="16"/>
              </w:rPr>
              <w:t>1-20</w:t>
            </w:r>
          </w:p>
        </w:tc>
      </w:tr>
      <w:tr>
        <w:tc>
          <w:tcPr>
            <w:tcW w:type="dxa" w:w="1296"/>
            <w:tcMar>
              <w:top w:w="90" w:type="dxa"/>
              <w:start w:w="70" w:type="dxa"/>
              <w:bottom w:w="90" w:type="dxa"/>
              <w:end w:w="70" w:type="dxa"/>
            </w:tcMar>
            <w:tcBorders>
              <w:bottom w:sz="4" w:val="single" w:color="D9DEE8"/>
            </w:tcBorders>
            <w:shd w:fill="F7F4ED"/>
          </w:tcPr>
          <w:p>
            <w:pPr>
              <w:jc w:val="center"/>
            </w:pPr>
            <w:r>
              <w:rPr>
                <w:b/>
                <w:i w:val="0"/>
                <w:color w:val="233B5F"/>
                <w:sz w:val="17"/>
              </w:rPr>
              <w:t>II</w:t>
            </w:r>
          </w:p>
        </w:tc>
        <w:tc>
          <w:tcPr>
            <w:tcW w:type="dxa" w:w="3168"/>
            <w:tcMar>
              <w:top w:w="90" w:type="dxa"/>
              <w:start w:w="70" w:type="dxa"/>
              <w:bottom w:w="90" w:type="dxa"/>
              <w:end w:w="70" w:type="dxa"/>
            </w:tcMar>
            <w:tcBorders>
              <w:bottom w:sz="4" w:val="single" w:color="D9DEE8"/>
            </w:tcBorders>
          </w:tcPr>
          <w:p>
            <w:r>
              <w:rPr>
                <w:b w:val="0"/>
                <w:i w:val="0"/>
                <w:color w:val="1F2933"/>
                <w:sz w:val="16"/>
              </w:rPr>
              <w:t>Cohesionar España</w:t>
            </w:r>
          </w:p>
        </w:tc>
        <w:tc>
          <w:tcPr>
            <w:tcW w:type="dxa" w:w="2880"/>
            <w:tcMar>
              <w:top w:w="90" w:type="dxa"/>
              <w:start w:w="70" w:type="dxa"/>
              <w:bottom w:w="90" w:type="dxa"/>
              <w:end w:w="70" w:type="dxa"/>
            </w:tcMar>
            <w:tcBorders>
              <w:bottom w:sz="4" w:val="single" w:color="D9DEE8"/>
            </w:tcBorders>
          </w:tcPr>
          <w:p>
            <w:r>
              <w:rPr>
                <w:b w:val="0"/>
                <w:i w:val="0"/>
                <w:color w:val="1F2933"/>
                <w:sz w:val="16"/>
              </w:rPr>
              <w:t>Igualdad de derechos, patrimonio y territorio</w:t>
            </w:r>
          </w:p>
        </w:tc>
        <w:tc>
          <w:tcPr>
            <w:tcW w:type="dxa" w:w="1728"/>
            <w:tcMar>
              <w:top w:w="90" w:type="dxa"/>
              <w:start w:w="70" w:type="dxa"/>
              <w:bottom w:w="90" w:type="dxa"/>
              <w:end w:w="70" w:type="dxa"/>
            </w:tcMar>
            <w:tcBorders>
              <w:bottom w:sz="4" w:val="single" w:color="D9DEE8"/>
            </w:tcBorders>
          </w:tcPr>
          <w:p>
            <w:r>
              <w:rPr>
                <w:b w:val="0"/>
                <w:i w:val="0"/>
                <w:color w:val="1F2933"/>
                <w:sz w:val="16"/>
              </w:rPr>
              <w:t>21-40</w:t>
            </w:r>
          </w:p>
        </w:tc>
      </w:tr>
      <w:tr>
        <w:tc>
          <w:tcPr>
            <w:tcW w:type="dxa" w:w="1296"/>
            <w:tcMar>
              <w:top w:w="90" w:type="dxa"/>
              <w:start w:w="70" w:type="dxa"/>
              <w:bottom w:w="90" w:type="dxa"/>
              <w:end w:w="70" w:type="dxa"/>
            </w:tcMar>
            <w:tcBorders>
              <w:bottom w:sz="4" w:val="single" w:color="D9DEE8"/>
            </w:tcBorders>
            <w:shd w:fill="F7F4ED"/>
          </w:tcPr>
          <w:p>
            <w:pPr>
              <w:jc w:val="center"/>
            </w:pPr>
            <w:r>
              <w:rPr>
                <w:b/>
                <w:i w:val="0"/>
                <w:color w:val="233B5F"/>
                <w:sz w:val="17"/>
              </w:rPr>
              <w:t>III</w:t>
            </w:r>
          </w:p>
        </w:tc>
        <w:tc>
          <w:tcPr>
            <w:tcW w:type="dxa" w:w="3168"/>
            <w:tcMar>
              <w:top w:w="90" w:type="dxa"/>
              <w:start w:w="70" w:type="dxa"/>
              <w:bottom w:w="90" w:type="dxa"/>
              <w:end w:w="70" w:type="dxa"/>
            </w:tcMar>
            <w:tcBorders>
              <w:bottom w:sz="4" w:val="single" w:color="D9DEE8"/>
            </w:tcBorders>
          </w:tcPr>
          <w:p>
            <w:r>
              <w:rPr>
                <w:b w:val="0"/>
                <w:i w:val="0"/>
                <w:color w:val="1F2933"/>
                <w:sz w:val="16"/>
              </w:rPr>
              <w:t>Influir en Europa</w:t>
            </w:r>
          </w:p>
        </w:tc>
        <w:tc>
          <w:tcPr>
            <w:tcW w:type="dxa" w:w="2880"/>
            <w:tcMar>
              <w:top w:w="90" w:type="dxa"/>
              <w:start w:w="70" w:type="dxa"/>
              <w:bottom w:w="90" w:type="dxa"/>
              <w:end w:w="70" w:type="dxa"/>
            </w:tcMar>
            <w:tcBorders>
              <w:bottom w:sz="4" w:val="single" w:color="D9DEE8"/>
            </w:tcBorders>
          </w:tcPr>
          <w:p>
            <w:r>
              <w:rPr>
                <w:b w:val="0"/>
                <w:i w:val="0"/>
                <w:color w:val="1F2933"/>
                <w:sz w:val="16"/>
              </w:rPr>
              <w:t>Defensa, fronteras, industria y Mediterráneo</w:t>
            </w:r>
          </w:p>
        </w:tc>
        <w:tc>
          <w:tcPr>
            <w:tcW w:type="dxa" w:w="1728"/>
            <w:tcMar>
              <w:top w:w="90" w:type="dxa"/>
              <w:start w:w="70" w:type="dxa"/>
              <w:bottom w:w="90" w:type="dxa"/>
              <w:end w:w="70" w:type="dxa"/>
            </w:tcMar>
            <w:tcBorders>
              <w:bottom w:sz="4" w:val="single" w:color="D9DEE8"/>
            </w:tcBorders>
          </w:tcPr>
          <w:p>
            <w:r>
              <w:rPr>
                <w:b w:val="0"/>
                <w:i w:val="0"/>
                <w:color w:val="1F2933"/>
                <w:sz w:val="16"/>
              </w:rPr>
              <w:t>41-60</w:t>
            </w:r>
          </w:p>
        </w:tc>
      </w:tr>
      <w:tr>
        <w:tc>
          <w:tcPr>
            <w:tcW w:type="dxa" w:w="1296"/>
            <w:tcMar>
              <w:top w:w="90" w:type="dxa"/>
              <w:start w:w="70" w:type="dxa"/>
              <w:bottom w:w="90" w:type="dxa"/>
              <w:end w:w="70" w:type="dxa"/>
            </w:tcMar>
            <w:tcBorders>
              <w:bottom w:sz="4" w:val="single" w:color="D9DEE8"/>
            </w:tcBorders>
            <w:shd w:fill="F7F4ED"/>
          </w:tcPr>
          <w:p>
            <w:pPr>
              <w:jc w:val="center"/>
            </w:pPr>
            <w:r>
              <w:rPr>
                <w:b/>
                <w:i w:val="0"/>
                <w:color w:val="233B5F"/>
                <w:sz w:val="17"/>
              </w:rPr>
              <w:t>IV</w:t>
            </w:r>
          </w:p>
        </w:tc>
        <w:tc>
          <w:tcPr>
            <w:tcW w:type="dxa" w:w="3168"/>
            <w:tcMar>
              <w:top w:w="90" w:type="dxa"/>
              <w:start w:w="70" w:type="dxa"/>
              <w:bottom w:w="90" w:type="dxa"/>
              <w:end w:w="70" w:type="dxa"/>
            </w:tcMar>
            <w:tcBorders>
              <w:bottom w:sz="4" w:val="single" w:color="D9DEE8"/>
            </w:tcBorders>
          </w:tcPr>
          <w:p>
            <w:r>
              <w:rPr>
                <w:b w:val="0"/>
                <w:i w:val="0"/>
                <w:color w:val="1F2933"/>
                <w:sz w:val="16"/>
              </w:rPr>
              <w:t>Recuperar el mérito</w:t>
            </w:r>
          </w:p>
        </w:tc>
        <w:tc>
          <w:tcPr>
            <w:tcW w:type="dxa" w:w="2880"/>
            <w:tcMar>
              <w:top w:w="90" w:type="dxa"/>
              <w:start w:w="70" w:type="dxa"/>
              <w:bottom w:w="90" w:type="dxa"/>
              <w:end w:w="70" w:type="dxa"/>
            </w:tcMar>
            <w:tcBorders>
              <w:bottom w:sz="4" w:val="single" w:color="D9DEE8"/>
            </w:tcBorders>
          </w:tcPr>
          <w:p>
            <w:r>
              <w:rPr>
                <w:b w:val="0"/>
                <w:i w:val="0"/>
                <w:color w:val="1F2933"/>
                <w:sz w:val="16"/>
              </w:rPr>
              <w:t>Conocimiento, esfuerzo y autoridad docente</w:t>
            </w:r>
          </w:p>
        </w:tc>
        <w:tc>
          <w:tcPr>
            <w:tcW w:type="dxa" w:w="1728"/>
            <w:tcMar>
              <w:top w:w="90" w:type="dxa"/>
              <w:start w:w="70" w:type="dxa"/>
              <w:bottom w:w="90" w:type="dxa"/>
              <w:end w:w="70" w:type="dxa"/>
            </w:tcMar>
            <w:tcBorders>
              <w:bottom w:sz="4" w:val="single" w:color="D9DEE8"/>
            </w:tcBorders>
          </w:tcPr>
          <w:p>
            <w:r>
              <w:rPr>
                <w:b w:val="0"/>
                <w:i w:val="0"/>
                <w:color w:val="1F2933"/>
                <w:sz w:val="16"/>
              </w:rPr>
              <w:t>61-80</w:t>
            </w:r>
          </w:p>
        </w:tc>
      </w:tr>
      <w:tr>
        <w:tc>
          <w:tcPr>
            <w:tcW w:type="dxa" w:w="1296"/>
            <w:tcMar>
              <w:top w:w="90" w:type="dxa"/>
              <w:start w:w="70" w:type="dxa"/>
              <w:bottom w:w="90" w:type="dxa"/>
              <w:end w:w="70" w:type="dxa"/>
            </w:tcMar>
            <w:tcBorders>
              <w:bottom w:sz="4" w:val="single" w:color="D9DEE8"/>
            </w:tcBorders>
            <w:shd w:fill="F7F4ED"/>
          </w:tcPr>
          <w:p>
            <w:pPr>
              <w:jc w:val="center"/>
            </w:pPr>
            <w:r>
              <w:rPr>
                <w:b/>
                <w:i w:val="0"/>
                <w:color w:val="233B5F"/>
                <w:sz w:val="17"/>
              </w:rPr>
              <w:t>V</w:t>
            </w:r>
          </w:p>
        </w:tc>
        <w:tc>
          <w:tcPr>
            <w:tcW w:type="dxa" w:w="3168"/>
            <w:tcMar>
              <w:top w:w="90" w:type="dxa"/>
              <w:start w:w="70" w:type="dxa"/>
              <w:bottom w:w="90" w:type="dxa"/>
              <w:end w:w="70" w:type="dxa"/>
            </w:tcMar>
            <w:tcBorders>
              <w:bottom w:sz="4" w:val="single" w:color="D9DEE8"/>
            </w:tcBorders>
          </w:tcPr>
          <w:p>
            <w:r>
              <w:rPr>
                <w:b w:val="0"/>
                <w:i w:val="0"/>
                <w:color w:val="1F2933"/>
                <w:sz w:val="16"/>
              </w:rPr>
              <w:t>Asegurar prosperidad</w:t>
            </w:r>
          </w:p>
        </w:tc>
        <w:tc>
          <w:tcPr>
            <w:tcW w:type="dxa" w:w="2880"/>
            <w:tcMar>
              <w:top w:w="90" w:type="dxa"/>
              <w:start w:w="70" w:type="dxa"/>
              <w:bottom w:w="90" w:type="dxa"/>
              <w:end w:w="70" w:type="dxa"/>
            </w:tcMar>
            <w:tcBorders>
              <w:bottom w:sz="4" w:val="single" w:color="D9DEE8"/>
            </w:tcBorders>
          </w:tcPr>
          <w:p>
            <w:r>
              <w:rPr>
                <w:b w:val="0"/>
                <w:i w:val="0"/>
                <w:color w:val="1F2933"/>
                <w:sz w:val="16"/>
              </w:rPr>
              <w:t>Industria, vivienda, familia, energía y campo</w:t>
            </w:r>
          </w:p>
        </w:tc>
        <w:tc>
          <w:tcPr>
            <w:tcW w:type="dxa" w:w="1728"/>
            <w:tcMar>
              <w:top w:w="90" w:type="dxa"/>
              <w:start w:w="70" w:type="dxa"/>
              <w:bottom w:w="90" w:type="dxa"/>
              <w:end w:w="70" w:type="dxa"/>
            </w:tcMar>
            <w:tcBorders>
              <w:bottom w:sz="4" w:val="single" w:color="D9DEE8"/>
            </w:tcBorders>
          </w:tcPr>
          <w:p>
            <w:r>
              <w:rPr>
                <w:b w:val="0"/>
                <w:i w:val="0"/>
                <w:color w:val="1F2933"/>
                <w:sz w:val="16"/>
              </w:rPr>
              <w:t>81-100</w:t>
            </w:r>
          </w:p>
        </w:tc>
      </w:tr>
    </w:tbl>
    <w:p/>
    <w:p>
      <w:r>
        <w:rPr>
          <w:b/>
          <w:i w:val="0"/>
          <w:color w:val="233B5F"/>
          <w:sz w:val="22"/>
        </w:rPr>
        <w:t>Marco de diagnóstico 2026-2027</w:t>
      </w:r>
    </w:p>
    <w:p>
      <w:r>
        <w:rPr>
          <w:b w:val="0"/>
          <w:i w:val="0"/>
          <w:sz w:val="18"/>
        </w:rPr>
        <w:t>Las medidas se han diseñado para responder a retos presentes en España: presión de vivienda, productividad, deuda pública, envejecimiento demográfico, transformación energética, seguridad fronteriza, abandono educativo temprano y confianza institucional.</w:t>
      </w:r>
    </w:p>
    <w:p>
      <w:r>
        <w:br w:type="page"/>
      </w:r>
    </w:p>
    <w:p>
      <w:pPr>
        <w:pStyle w:val="Heading1"/>
      </w:pPr>
      <w:r>
        <w:t>Cómo leer las 100 medidas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389"/>
        <w:gridCol w:w="3389"/>
        <w:gridCol w:w="3389"/>
      </w:tblGrid>
      <w:tr>
        <w:tc>
          <w:tcPr>
            <w:tcW w:type="dxa" w:w="3389"/>
            <w:shd w:fill="233B5F"/>
            <w:tcMar>
              <w:top w:w="100" w:type="dxa"/>
              <w:start w:w="90" w:type="dxa"/>
              <w:bottom w:w="100" w:type="dxa"/>
              <w:end w:w="90" w:type="dxa"/>
            </w:tcMar>
          </w:tcPr>
          <w:p>
            <w:r>
              <w:rPr>
                <w:b/>
                <w:i w:val="0"/>
                <w:color w:val="FFFFFF"/>
                <w:sz w:val="17"/>
              </w:rPr>
              <w:t>Código</w:t>
            </w:r>
          </w:p>
        </w:tc>
        <w:tc>
          <w:tcPr>
            <w:tcW w:type="dxa" w:w="3389"/>
            <w:shd w:fill="233B5F"/>
            <w:tcMar>
              <w:top w:w="100" w:type="dxa"/>
              <w:start w:w="90" w:type="dxa"/>
              <w:bottom w:w="100" w:type="dxa"/>
              <w:end w:w="90" w:type="dxa"/>
            </w:tcMar>
          </w:tcPr>
          <w:p>
            <w:r>
              <w:rPr>
                <w:b/>
                <w:i w:val="0"/>
                <w:color w:val="FFFFFF"/>
                <w:sz w:val="17"/>
              </w:rPr>
              <w:t>Aplicación</w:t>
            </w:r>
          </w:p>
        </w:tc>
        <w:tc>
          <w:tcPr>
            <w:tcW w:type="dxa" w:w="3389"/>
            <w:shd w:fill="233B5F"/>
            <w:tcMar>
              <w:top w:w="100" w:type="dxa"/>
              <w:start w:w="90" w:type="dxa"/>
              <w:bottom w:w="100" w:type="dxa"/>
              <w:end w:w="90" w:type="dxa"/>
            </w:tcMar>
          </w:tcPr>
          <w:p>
            <w:r>
              <w:rPr>
                <w:b/>
                <w:i w:val="0"/>
                <w:color w:val="FFFFFF"/>
                <w:sz w:val="17"/>
              </w:rPr>
              <w:t>Lectura política</w:t>
            </w:r>
          </w:p>
        </w:tc>
      </w:tr>
      <w:tr>
        <w:tc>
          <w:tcPr>
            <w:tcW w:type="dxa" w:w="3389"/>
            <w:tcMar>
              <w:top w:w="95" w:type="dxa"/>
              <w:start w:w="90" w:type="dxa"/>
              <w:bottom w:w="95" w:type="dxa"/>
              <w:end w:w="90" w:type="dxa"/>
            </w:tcMar>
            <w:tcBorders>
              <w:bottom w:sz="4" w:val="single" w:color="D9DEE8"/>
            </w:tcBorders>
          </w:tcPr>
          <w:p>
            <w:r>
              <w:rPr>
                <w:b/>
                <w:i w:val="0"/>
                <w:color w:val="233B5F"/>
                <w:sz w:val="16"/>
              </w:rPr>
              <w:t>100 días</w:t>
            </w:r>
          </w:p>
        </w:tc>
        <w:tc>
          <w:tcPr>
            <w:tcW w:type="dxa" w:w="3389"/>
            <w:tcMar>
              <w:top w:w="95" w:type="dxa"/>
              <w:start w:w="90" w:type="dxa"/>
              <w:bottom w:w="95" w:type="dxa"/>
              <w:end w:w="90" w:type="dxa"/>
            </w:tcMar>
            <w:tcBorders>
              <w:bottom w:sz="4" w:val="single" w:color="D9DEE8"/>
            </w:tcBorders>
          </w:tcPr>
          <w:p>
            <w:r>
              <w:rPr>
                <w:b w:val="0"/>
                <w:i w:val="0"/>
                <w:color w:val="1F2933"/>
                <w:sz w:val="16"/>
              </w:rPr>
              <w:t>Decreto, plan, auditoría, comisión técnica o proyecto de ley inicial.</w:t>
            </w:r>
          </w:p>
        </w:tc>
        <w:tc>
          <w:tcPr>
            <w:tcW w:type="dxa" w:w="3389"/>
            <w:tcMar>
              <w:top w:w="95" w:type="dxa"/>
              <w:start w:w="90" w:type="dxa"/>
              <w:bottom w:w="95" w:type="dxa"/>
              <w:end w:w="90" w:type="dxa"/>
            </w:tcMar>
            <w:tcBorders>
              <w:bottom w:sz="4" w:val="single" w:color="D9DEE8"/>
            </w:tcBorders>
          </w:tcPr>
          <w:p>
            <w:r>
              <w:rPr>
                <w:b w:val="0"/>
                <w:i w:val="0"/>
                <w:color w:val="1F2933"/>
                <w:sz w:val="16"/>
              </w:rPr>
              <w:t>Compromiso de arranque y señal institucional.</w:t>
            </w:r>
          </w:p>
        </w:tc>
      </w:tr>
      <w:tr>
        <w:tc>
          <w:tcPr>
            <w:tcW w:type="dxa" w:w="3389"/>
            <w:tcMar>
              <w:top w:w="95" w:type="dxa"/>
              <w:start w:w="90" w:type="dxa"/>
              <w:bottom w:w="95" w:type="dxa"/>
              <w:end w:w="90" w:type="dxa"/>
            </w:tcMar>
            <w:tcBorders>
              <w:bottom w:sz="4" w:val="single" w:color="D9DEE8"/>
            </w:tcBorders>
          </w:tcPr>
          <w:p>
            <w:r>
              <w:rPr>
                <w:b/>
                <w:i w:val="0"/>
                <w:color w:val="233B5F"/>
                <w:sz w:val="16"/>
              </w:rPr>
              <w:t>Año 1</w:t>
            </w:r>
          </w:p>
        </w:tc>
        <w:tc>
          <w:tcPr>
            <w:tcW w:type="dxa" w:w="3389"/>
            <w:tcMar>
              <w:top w:w="95" w:type="dxa"/>
              <w:start w:w="90" w:type="dxa"/>
              <w:bottom w:w="95" w:type="dxa"/>
              <w:end w:w="90" w:type="dxa"/>
            </w:tcMar>
            <w:tcBorders>
              <w:bottom w:sz="4" w:val="single" w:color="D9DEE8"/>
            </w:tcBorders>
          </w:tcPr>
          <w:p>
            <w:r>
              <w:rPr>
                <w:b w:val="0"/>
                <w:i w:val="0"/>
                <w:color w:val="1F2933"/>
                <w:sz w:val="16"/>
              </w:rPr>
              <w:t>Ley ordinaria, presupuesto, convenio con CCAA o reforma administrativa.</w:t>
            </w:r>
          </w:p>
        </w:tc>
        <w:tc>
          <w:tcPr>
            <w:tcW w:type="dxa" w:w="3389"/>
            <w:tcMar>
              <w:top w:w="95" w:type="dxa"/>
              <w:start w:w="90" w:type="dxa"/>
              <w:bottom w:w="95" w:type="dxa"/>
              <w:end w:w="90" w:type="dxa"/>
            </w:tcMar>
            <w:tcBorders>
              <w:bottom w:sz="4" w:val="single" w:color="D9DEE8"/>
            </w:tcBorders>
          </w:tcPr>
          <w:p>
            <w:r>
              <w:rPr>
                <w:b w:val="0"/>
                <w:i w:val="0"/>
                <w:color w:val="1F2933"/>
                <w:sz w:val="16"/>
              </w:rPr>
              <w:t>Medida verificable antes del primer debate sobre el estado de la nación.</w:t>
            </w:r>
          </w:p>
        </w:tc>
      </w:tr>
      <w:tr>
        <w:tc>
          <w:tcPr>
            <w:tcW w:type="dxa" w:w="3389"/>
            <w:tcMar>
              <w:top w:w="95" w:type="dxa"/>
              <w:start w:w="90" w:type="dxa"/>
              <w:bottom w:w="95" w:type="dxa"/>
              <w:end w:w="90" w:type="dxa"/>
            </w:tcMar>
            <w:tcBorders>
              <w:bottom w:sz="4" w:val="single" w:color="D9DEE8"/>
            </w:tcBorders>
          </w:tcPr>
          <w:p>
            <w:r>
              <w:rPr>
                <w:b/>
                <w:i w:val="0"/>
                <w:color w:val="233B5F"/>
                <w:sz w:val="16"/>
              </w:rPr>
              <w:t>Legislatura</w:t>
            </w:r>
          </w:p>
        </w:tc>
        <w:tc>
          <w:tcPr>
            <w:tcW w:type="dxa" w:w="3389"/>
            <w:tcMar>
              <w:top w:w="95" w:type="dxa"/>
              <w:start w:w="90" w:type="dxa"/>
              <w:bottom w:w="95" w:type="dxa"/>
              <w:end w:w="90" w:type="dxa"/>
            </w:tcMar>
            <w:tcBorders>
              <w:bottom w:sz="4" w:val="single" w:color="D9DEE8"/>
            </w:tcBorders>
          </w:tcPr>
          <w:p>
            <w:r>
              <w:rPr>
                <w:b w:val="0"/>
                <w:i w:val="0"/>
                <w:color w:val="1F2933"/>
                <w:sz w:val="16"/>
              </w:rPr>
              <w:t>Reforma estructural, despliegue territorial o inversión plurianual.</w:t>
            </w:r>
          </w:p>
        </w:tc>
        <w:tc>
          <w:tcPr>
            <w:tcW w:type="dxa" w:w="3389"/>
            <w:tcMar>
              <w:top w:w="95" w:type="dxa"/>
              <w:start w:w="90" w:type="dxa"/>
              <w:bottom w:w="95" w:type="dxa"/>
              <w:end w:w="90" w:type="dxa"/>
            </w:tcMar>
            <w:tcBorders>
              <w:bottom w:sz="4" w:val="single" w:color="D9DEE8"/>
            </w:tcBorders>
          </w:tcPr>
          <w:p>
            <w:r>
              <w:rPr>
                <w:b w:val="0"/>
                <w:i w:val="0"/>
                <w:color w:val="1F2933"/>
                <w:sz w:val="16"/>
              </w:rPr>
              <w:t>Transformación medible 2027-2031.</w:t>
            </w:r>
          </w:p>
        </w:tc>
      </w:tr>
    </w:tbl>
    <w:p>
      <w:r>
        <w:rPr>
          <w:b/>
          <w:i w:val="0"/>
          <w:color w:val="7E2E35"/>
        </w:rPr>
        <w:t xml:space="preserve">Nota de técnica legislativa: </w:t>
      </w:r>
      <w:r>
        <w:rPr>
          <w:b w:val="0"/>
          <w:i w:val="0"/>
        </w:rPr>
        <w:t>algunas medidas requieren coordinación con comunidades autónomas, reforma orgánica o negociación europea. En esos casos se formula el objetivo político y el cauce institucional razonable, evitando promesas inviables o ajenas a las competencias del Gobierno de España.</w:t>
      </w:r>
    </w:p>
    <w:p>
      <w:r>
        <w:br w:type="page"/>
      </w:r>
    </w:p>
    <w:p>
      <w:pPr>
        <w:jc w:val="left"/>
      </w:pPr>
      <w:r>
        <w:rPr>
          <w:b/>
          <w:i w:val="0"/>
          <w:color w:val="CFA96E"/>
          <w:sz w:val="26"/>
        </w:rPr>
        <w:t>I</w:t>
      </w:r>
      <w:r>
        <w:rPr>
          <w:b w:val="0"/>
          <w:i w:val="0"/>
          <w:sz w:val="26"/>
        </w:rPr>
        <w:t xml:space="preserve">  </w:t>
      </w:r>
      <w:r>
        <w:rPr>
          <w:b/>
          <w:i w:val="0"/>
          <w:color w:val="233B5F"/>
          <w:sz w:val="36"/>
        </w:rPr>
        <w:t>Virtud Política</w:t>
      </w:r>
    </w:p>
    <w:p>
      <w:r>
        <w:rPr>
          <w:b w:val="0"/>
          <w:i/>
          <w:color w:val="5A6473"/>
          <w:sz w:val="21"/>
        </w:rPr>
        <w:t>La Reforma del Estado y el Liderazgo Ético</w:t>
      </w:r>
    </w:p>
    <w:p>
      <w:pPr>
        <w:pBdr>
          <w:bottom w:val="single" w:sz="8" w:space="1" w:color="CFA96E"/>
        </w:pBdr>
      </w:pPr>
    </w:p>
    <w:p>
      <w:r>
        <w:rPr>
          <w:b w:val="0"/>
          <w:i w:val="0"/>
          <w:color w:val="1F2933"/>
          <w:sz w:val="18"/>
        </w:rPr>
        <w:t>Objetivo: convertir el Estado en una institución de servicio, mérito y responsabilidad, recuperando la confianza ciudadana y reduciendo la captura partidista.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792"/>
        <w:gridCol w:w="7344"/>
        <w:gridCol w:w="1368"/>
      </w:tblGrid>
      <w:tr>
        <w:trPr>
          <w:cantSplit/>
        </w:trPr>
        <w:tc>
          <w:tcPr>
            <w:tcW w:type="dxa" w:w="792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233B5F"/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19"/>
              </w:rPr>
              <w:t>01</w:t>
            </w:r>
          </w:p>
        </w:tc>
        <w:tc>
          <w:tcPr>
            <w:tcW w:type="dxa" w:w="7344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FFFFF"/>
          </w:tcPr>
          <w:p>
            <w:pPr>
              <w:spacing w:after="20"/>
            </w:pPr>
            <w:r>
              <w:rPr>
                <w:b/>
                <w:i w:val="0"/>
                <w:color w:val="233B5F"/>
                <w:sz w:val="17"/>
              </w:rPr>
              <w:t xml:space="preserve">Ley de Integridad del Cargo Público. </w:t>
            </w:r>
            <w:r>
              <w:rPr>
                <w:b w:val="0"/>
                <w:i w:val="0"/>
                <w:color w:val="1F2933"/>
                <w:sz w:val="16"/>
              </w:rPr>
              <w:t>Suspensión automática de funciones tras apertura de juicio oral por corrupción grave, pérdida del cargo por condena firme y devolución reforzada de lo sustraído.</w:t>
            </w:r>
          </w:p>
        </w:tc>
        <w:tc>
          <w:tcPr>
            <w:tcW w:type="dxa" w:w="1368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FFFFF"/>
          </w:tcPr>
          <w:p>
            <w:pPr>
              <w:jc w:val="center"/>
            </w:pPr>
            <w:r>
              <w:rPr>
                <w:b/>
                <w:i w:val="0"/>
                <w:color w:val="7E2E35"/>
                <w:sz w:val="14"/>
              </w:rPr>
              <w:t>Año 1</w:t>
            </w:r>
          </w:p>
        </w:tc>
      </w:tr>
      <w:tr>
        <w:trPr>
          <w:cantSplit/>
        </w:trPr>
        <w:tc>
          <w:tcPr>
            <w:tcW w:type="dxa" w:w="792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7E2E35"/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19"/>
              </w:rPr>
              <w:t>02</w:t>
            </w:r>
          </w:p>
        </w:tc>
        <w:tc>
          <w:tcPr>
            <w:tcW w:type="dxa" w:w="7344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BFBFD"/>
          </w:tcPr>
          <w:p>
            <w:pPr>
              <w:spacing w:after="20"/>
            </w:pPr>
            <w:r>
              <w:rPr>
                <w:b/>
                <w:i w:val="0"/>
                <w:color w:val="233B5F"/>
                <w:sz w:val="17"/>
              </w:rPr>
              <w:t xml:space="preserve">Registro nacional de intereses y patrimonio. </w:t>
            </w:r>
            <w:r>
              <w:rPr>
                <w:b w:val="0"/>
                <w:i w:val="0"/>
                <w:color w:val="1F2933"/>
                <w:sz w:val="16"/>
              </w:rPr>
              <w:t>Declaración anual pública, comprensible y verificable de bienes, actividades, regalos, viajes y conflictos de interés de altos cargos y asesores.</w:t>
            </w:r>
          </w:p>
        </w:tc>
        <w:tc>
          <w:tcPr>
            <w:tcW w:type="dxa" w:w="1368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BFBFD"/>
          </w:tcPr>
          <w:p>
            <w:pPr>
              <w:jc w:val="center"/>
            </w:pPr>
            <w:r>
              <w:rPr>
                <w:b/>
                <w:i w:val="0"/>
                <w:color w:val="233B5F"/>
                <w:sz w:val="14"/>
              </w:rPr>
              <w:t>100 días</w:t>
            </w:r>
          </w:p>
        </w:tc>
      </w:tr>
      <w:tr>
        <w:trPr>
          <w:cantSplit/>
        </w:trPr>
        <w:tc>
          <w:tcPr>
            <w:tcW w:type="dxa" w:w="792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233B5F"/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19"/>
              </w:rPr>
              <w:t>03</w:t>
            </w:r>
          </w:p>
        </w:tc>
        <w:tc>
          <w:tcPr>
            <w:tcW w:type="dxa" w:w="7344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FFFFF"/>
          </w:tcPr>
          <w:p>
            <w:pPr>
              <w:spacing w:after="20"/>
            </w:pPr>
            <w:r>
              <w:rPr>
                <w:b/>
                <w:i w:val="0"/>
                <w:color w:val="233B5F"/>
                <w:sz w:val="17"/>
              </w:rPr>
              <w:t xml:space="preserve">Reducción gradual de asesores políticos. </w:t>
            </w:r>
            <w:r>
              <w:rPr>
                <w:b w:val="0"/>
                <w:i w:val="0"/>
                <w:color w:val="1F2933"/>
                <w:sz w:val="16"/>
              </w:rPr>
              <w:t>Recorte mínimo del 30% de puestos de confianza en la Administración General del Estado, sustituyendo funciones técnicas por cuerpos profesionales mediante concurso y oposición.</w:t>
            </w:r>
          </w:p>
        </w:tc>
        <w:tc>
          <w:tcPr>
            <w:tcW w:type="dxa" w:w="1368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FFFFF"/>
          </w:tcPr>
          <w:p>
            <w:pPr>
              <w:jc w:val="center"/>
            </w:pPr>
            <w:r>
              <w:rPr>
                <w:b/>
                <w:i w:val="0"/>
                <w:color w:val="7E2E35"/>
                <w:sz w:val="14"/>
              </w:rPr>
              <w:t>Año 1</w:t>
            </w:r>
          </w:p>
        </w:tc>
      </w:tr>
      <w:tr>
        <w:trPr>
          <w:cantSplit/>
        </w:trPr>
        <w:tc>
          <w:tcPr>
            <w:tcW w:type="dxa" w:w="792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7E2E35"/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19"/>
              </w:rPr>
              <w:t>04</w:t>
            </w:r>
          </w:p>
        </w:tc>
        <w:tc>
          <w:tcPr>
            <w:tcW w:type="dxa" w:w="7344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BFBFD"/>
          </w:tcPr>
          <w:p>
            <w:pPr>
              <w:spacing w:after="20"/>
            </w:pPr>
            <w:r>
              <w:rPr>
                <w:b/>
                <w:i w:val="0"/>
                <w:color w:val="233B5F"/>
                <w:sz w:val="17"/>
              </w:rPr>
              <w:t xml:space="preserve">Alta dirección pública profesional. </w:t>
            </w:r>
            <w:r>
              <w:rPr>
                <w:b w:val="0"/>
                <w:i w:val="0"/>
                <w:color w:val="1F2933"/>
                <w:sz w:val="16"/>
              </w:rPr>
              <w:t>Selección por mérito, experiencia y objetivos para direcciones generales técnicas, empresas públicas y organismos reguladores, con evaluación anual independiente.</w:t>
            </w:r>
          </w:p>
        </w:tc>
        <w:tc>
          <w:tcPr>
            <w:tcW w:type="dxa" w:w="1368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BFBFD"/>
          </w:tcPr>
          <w:p>
            <w:pPr>
              <w:jc w:val="center"/>
            </w:pPr>
            <w:r>
              <w:rPr>
                <w:b/>
                <w:i w:val="0"/>
                <w:color w:val="7E2E35"/>
                <w:sz w:val="14"/>
              </w:rPr>
              <w:t>Año 1</w:t>
            </w:r>
          </w:p>
        </w:tc>
      </w:tr>
      <w:tr>
        <w:trPr>
          <w:cantSplit/>
        </w:trPr>
        <w:tc>
          <w:tcPr>
            <w:tcW w:type="dxa" w:w="792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233B5F"/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19"/>
              </w:rPr>
              <w:t>05</w:t>
            </w:r>
          </w:p>
        </w:tc>
        <w:tc>
          <w:tcPr>
            <w:tcW w:type="dxa" w:w="7344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FFFFF"/>
          </w:tcPr>
          <w:p>
            <w:pPr>
              <w:spacing w:after="20"/>
            </w:pPr>
            <w:r>
              <w:rPr>
                <w:b/>
                <w:i w:val="0"/>
                <w:color w:val="233B5F"/>
                <w:sz w:val="17"/>
              </w:rPr>
              <w:t xml:space="preserve">Portal único de contratación pública. </w:t>
            </w:r>
            <w:r>
              <w:rPr>
                <w:b w:val="0"/>
                <w:i w:val="0"/>
                <w:color w:val="1F2933"/>
                <w:sz w:val="16"/>
              </w:rPr>
              <w:t>Publicación en formato abierto de contratos, modificaciones, subcontratación, adjudicatarios finales y alertas de fraccionamiento o baja competencia.</w:t>
            </w:r>
          </w:p>
        </w:tc>
        <w:tc>
          <w:tcPr>
            <w:tcW w:type="dxa" w:w="1368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FFFFF"/>
          </w:tcPr>
          <w:p>
            <w:pPr>
              <w:jc w:val="center"/>
            </w:pPr>
            <w:r>
              <w:rPr>
                <w:b/>
                <w:i w:val="0"/>
                <w:color w:val="233B5F"/>
                <w:sz w:val="14"/>
              </w:rPr>
              <w:t>100 días</w:t>
            </w:r>
          </w:p>
        </w:tc>
      </w:tr>
      <w:tr>
        <w:trPr>
          <w:cantSplit/>
        </w:trPr>
        <w:tc>
          <w:tcPr>
            <w:tcW w:type="dxa" w:w="792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7E2E35"/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19"/>
              </w:rPr>
              <w:t>06</w:t>
            </w:r>
          </w:p>
        </w:tc>
        <w:tc>
          <w:tcPr>
            <w:tcW w:type="dxa" w:w="7344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BFBFD"/>
          </w:tcPr>
          <w:p>
            <w:pPr>
              <w:spacing w:after="20"/>
            </w:pPr>
            <w:r>
              <w:rPr>
                <w:b/>
                <w:i w:val="0"/>
                <w:color w:val="233B5F"/>
                <w:sz w:val="17"/>
              </w:rPr>
              <w:t xml:space="preserve">Unidad antifraude de contratación estratégica. </w:t>
            </w:r>
            <w:r>
              <w:rPr>
                <w:b w:val="0"/>
                <w:i w:val="0"/>
                <w:color w:val="1F2933"/>
                <w:sz w:val="16"/>
              </w:rPr>
              <w:t>Sistema nacional de análisis de riesgos para obra pública, digitalización, defensa, sanidad y fondos europeos, con colaboración de Intervención, Fiscalía y autoridades autonómicas.</w:t>
            </w:r>
          </w:p>
        </w:tc>
        <w:tc>
          <w:tcPr>
            <w:tcW w:type="dxa" w:w="1368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BFBFD"/>
          </w:tcPr>
          <w:p>
            <w:pPr>
              <w:jc w:val="center"/>
            </w:pPr>
            <w:r>
              <w:rPr>
                <w:b/>
                <w:i w:val="0"/>
                <w:color w:val="7E2E35"/>
                <w:sz w:val="14"/>
              </w:rPr>
              <w:t>Año 1</w:t>
            </w:r>
          </w:p>
        </w:tc>
      </w:tr>
      <w:tr>
        <w:trPr>
          <w:cantSplit/>
        </w:trPr>
        <w:tc>
          <w:tcPr>
            <w:tcW w:type="dxa" w:w="792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233B5F"/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19"/>
              </w:rPr>
              <w:t>07</w:t>
            </w:r>
          </w:p>
        </w:tc>
        <w:tc>
          <w:tcPr>
            <w:tcW w:type="dxa" w:w="7344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FFFFF"/>
          </w:tcPr>
          <w:p>
            <w:pPr>
              <w:spacing w:after="20"/>
            </w:pPr>
            <w:r>
              <w:rPr>
                <w:b/>
                <w:i w:val="0"/>
                <w:color w:val="233B5F"/>
                <w:sz w:val="17"/>
              </w:rPr>
              <w:t xml:space="preserve">Protección real del denunciante. </w:t>
            </w:r>
            <w:r>
              <w:rPr>
                <w:b w:val="0"/>
                <w:i w:val="0"/>
                <w:color w:val="1F2933"/>
                <w:sz w:val="16"/>
              </w:rPr>
              <w:t>Canal externo independiente, anonimato operativo, asistencia jurídica y prohibición efectiva de represalias para funcionarios, contratistas y ciudadanos que informen de corrupción.</w:t>
            </w:r>
          </w:p>
        </w:tc>
        <w:tc>
          <w:tcPr>
            <w:tcW w:type="dxa" w:w="1368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FFFFF"/>
          </w:tcPr>
          <w:p>
            <w:pPr>
              <w:jc w:val="center"/>
            </w:pPr>
            <w:r>
              <w:rPr>
                <w:b/>
                <w:i w:val="0"/>
                <w:color w:val="7E2E35"/>
                <w:sz w:val="14"/>
              </w:rPr>
              <w:t>Año 1</w:t>
            </w:r>
          </w:p>
        </w:tc>
      </w:tr>
      <w:tr>
        <w:trPr>
          <w:cantSplit/>
        </w:trPr>
        <w:tc>
          <w:tcPr>
            <w:tcW w:type="dxa" w:w="792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7E2E35"/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19"/>
              </w:rPr>
              <w:t>08</w:t>
            </w:r>
          </w:p>
        </w:tc>
        <w:tc>
          <w:tcPr>
            <w:tcW w:type="dxa" w:w="7344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BFBFD"/>
          </w:tcPr>
          <w:p>
            <w:pPr>
              <w:spacing w:after="20"/>
            </w:pPr>
            <w:r>
              <w:rPr>
                <w:b/>
                <w:i w:val="0"/>
                <w:color w:val="233B5F"/>
                <w:sz w:val="17"/>
              </w:rPr>
              <w:t xml:space="preserve">Inhabilitación reforzada por malversación. </w:t>
            </w:r>
            <w:r>
              <w:rPr>
                <w:b w:val="0"/>
                <w:i w:val="0"/>
                <w:color w:val="1F2933"/>
                <w:sz w:val="16"/>
              </w:rPr>
              <w:t>Reforma penal para impedir el retorno a cargos públicos de condenados por corrupción grave durante plazos amplios y proporcionados.</w:t>
            </w:r>
          </w:p>
        </w:tc>
        <w:tc>
          <w:tcPr>
            <w:tcW w:type="dxa" w:w="1368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BFBFD"/>
          </w:tcPr>
          <w:p>
            <w:pPr>
              <w:jc w:val="center"/>
            </w:pPr>
            <w:r>
              <w:rPr>
                <w:b/>
                <w:i w:val="0"/>
                <w:color w:val="7E2E35"/>
                <w:sz w:val="14"/>
              </w:rPr>
              <w:t>Legislatura</w:t>
            </w:r>
          </w:p>
        </w:tc>
      </w:tr>
      <w:tr>
        <w:trPr>
          <w:cantSplit/>
        </w:trPr>
        <w:tc>
          <w:tcPr>
            <w:tcW w:type="dxa" w:w="792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233B5F"/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19"/>
              </w:rPr>
              <w:t>09</w:t>
            </w:r>
          </w:p>
        </w:tc>
        <w:tc>
          <w:tcPr>
            <w:tcW w:type="dxa" w:w="7344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FFFFF"/>
          </w:tcPr>
          <w:p>
            <w:pPr>
              <w:spacing w:after="20"/>
            </w:pPr>
            <w:r>
              <w:rPr>
                <w:b/>
                <w:i w:val="0"/>
                <w:color w:val="233B5F"/>
                <w:sz w:val="17"/>
              </w:rPr>
              <w:t xml:space="preserve">Limitación de puertas giratorias. </w:t>
            </w:r>
            <w:r>
              <w:rPr>
                <w:b w:val="0"/>
                <w:i w:val="0"/>
                <w:color w:val="1F2933"/>
                <w:sz w:val="16"/>
              </w:rPr>
              <w:t>Incompatibilidad de cinco años para altos cargos en sectores regulados sobre los que hayan decidido, con comité público de autorización y sanciones económicas.</w:t>
            </w:r>
          </w:p>
        </w:tc>
        <w:tc>
          <w:tcPr>
            <w:tcW w:type="dxa" w:w="1368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FFFFF"/>
          </w:tcPr>
          <w:p>
            <w:pPr>
              <w:jc w:val="center"/>
            </w:pPr>
            <w:r>
              <w:rPr>
                <w:b/>
                <w:i w:val="0"/>
                <w:color w:val="7E2E35"/>
                <w:sz w:val="14"/>
              </w:rPr>
              <w:t>Año 1</w:t>
            </w:r>
          </w:p>
        </w:tc>
      </w:tr>
      <w:tr>
        <w:trPr>
          <w:cantSplit/>
        </w:trPr>
        <w:tc>
          <w:tcPr>
            <w:tcW w:type="dxa" w:w="792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7E2E35"/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19"/>
              </w:rPr>
              <w:t>10</w:t>
            </w:r>
          </w:p>
        </w:tc>
        <w:tc>
          <w:tcPr>
            <w:tcW w:type="dxa" w:w="7344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BFBFD"/>
          </w:tcPr>
          <w:p>
            <w:pPr>
              <w:spacing w:after="20"/>
            </w:pPr>
            <w:r>
              <w:rPr>
                <w:b/>
                <w:i w:val="0"/>
                <w:color w:val="233B5F"/>
                <w:sz w:val="17"/>
              </w:rPr>
              <w:t xml:space="preserve">Reforma electoral con listas desbloqueadas. </w:t>
            </w:r>
            <w:r>
              <w:rPr>
                <w:b w:val="0"/>
                <w:i w:val="0"/>
                <w:color w:val="1F2933"/>
                <w:sz w:val="16"/>
              </w:rPr>
              <w:t>Permitir al elector alterar el orden de candidatos dentro de la lista y reforzar la rendición de cuentas personal sin romper la proporcionalidad.</w:t>
            </w:r>
          </w:p>
        </w:tc>
        <w:tc>
          <w:tcPr>
            <w:tcW w:type="dxa" w:w="1368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BFBFD"/>
          </w:tcPr>
          <w:p>
            <w:pPr>
              <w:jc w:val="center"/>
            </w:pPr>
            <w:r>
              <w:rPr>
                <w:b/>
                <w:i w:val="0"/>
                <w:color w:val="7E2E35"/>
                <w:sz w:val="14"/>
              </w:rPr>
              <w:t>Legislatura</w:t>
            </w:r>
          </w:p>
        </w:tc>
      </w:tr>
      <w:tr>
        <w:trPr>
          <w:cantSplit/>
        </w:trPr>
        <w:tc>
          <w:tcPr>
            <w:tcW w:type="dxa" w:w="792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233B5F"/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19"/>
              </w:rPr>
              <w:t>11</w:t>
            </w:r>
          </w:p>
        </w:tc>
        <w:tc>
          <w:tcPr>
            <w:tcW w:type="dxa" w:w="7344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FFFFF"/>
          </w:tcPr>
          <w:p>
            <w:pPr>
              <w:spacing w:after="20"/>
            </w:pPr>
            <w:r>
              <w:rPr>
                <w:b/>
                <w:i w:val="0"/>
                <w:color w:val="233B5F"/>
                <w:sz w:val="17"/>
              </w:rPr>
              <w:t xml:space="preserve">Debates y primarias reguladas en partidos. </w:t>
            </w:r>
            <w:r>
              <w:rPr>
                <w:b w:val="0"/>
                <w:i w:val="0"/>
                <w:color w:val="1F2933"/>
                <w:sz w:val="16"/>
              </w:rPr>
              <w:t>Obligaciones mínimas de democracia interna, auditoría de financiación y publicación de procesos de selección de candidatos que reciban financiación pública.</w:t>
            </w:r>
          </w:p>
        </w:tc>
        <w:tc>
          <w:tcPr>
            <w:tcW w:type="dxa" w:w="1368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FFFFF"/>
          </w:tcPr>
          <w:p>
            <w:pPr>
              <w:jc w:val="center"/>
            </w:pPr>
            <w:r>
              <w:rPr>
                <w:b/>
                <w:i w:val="0"/>
                <w:color w:val="7E2E35"/>
                <w:sz w:val="14"/>
              </w:rPr>
              <w:t>Año 1</w:t>
            </w:r>
          </w:p>
        </w:tc>
      </w:tr>
      <w:tr>
        <w:trPr>
          <w:cantSplit/>
        </w:trPr>
        <w:tc>
          <w:tcPr>
            <w:tcW w:type="dxa" w:w="792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7E2E35"/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19"/>
              </w:rPr>
              <w:t>12</w:t>
            </w:r>
          </w:p>
        </w:tc>
        <w:tc>
          <w:tcPr>
            <w:tcW w:type="dxa" w:w="7344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BFBFD"/>
          </w:tcPr>
          <w:p>
            <w:pPr>
              <w:spacing w:after="20"/>
            </w:pPr>
            <w:r>
              <w:rPr>
                <w:b/>
                <w:i w:val="0"/>
                <w:color w:val="233B5F"/>
                <w:sz w:val="17"/>
              </w:rPr>
              <w:t xml:space="preserve">CGPJ con mayoría judicial elegida por jueces. </w:t>
            </w:r>
            <w:r>
              <w:rPr>
                <w:b w:val="0"/>
                <w:i w:val="0"/>
                <w:color w:val="1F2933"/>
                <w:sz w:val="16"/>
              </w:rPr>
              <w:t>Reforma de la LOPJ para que los vocales judiciales sean seleccionados por la carrera judicial y los juristas comparezcan en audiencia pública parlamentaria.</w:t>
            </w:r>
          </w:p>
        </w:tc>
        <w:tc>
          <w:tcPr>
            <w:tcW w:type="dxa" w:w="1368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BFBFD"/>
          </w:tcPr>
          <w:p>
            <w:pPr>
              <w:jc w:val="center"/>
            </w:pPr>
            <w:r>
              <w:rPr>
                <w:b/>
                <w:i w:val="0"/>
                <w:color w:val="7E2E35"/>
                <w:sz w:val="14"/>
              </w:rPr>
              <w:t>Legislatura</w:t>
            </w:r>
          </w:p>
        </w:tc>
      </w:tr>
      <w:tr>
        <w:trPr>
          <w:cantSplit/>
        </w:trPr>
        <w:tc>
          <w:tcPr>
            <w:tcW w:type="dxa" w:w="792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233B5F"/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19"/>
              </w:rPr>
              <w:t>13</w:t>
            </w:r>
          </w:p>
        </w:tc>
        <w:tc>
          <w:tcPr>
            <w:tcW w:type="dxa" w:w="7344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FFFFF"/>
          </w:tcPr>
          <w:p>
            <w:pPr>
              <w:spacing w:after="20"/>
            </w:pPr>
            <w:r>
              <w:rPr>
                <w:b/>
                <w:i w:val="0"/>
                <w:color w:val="233B5F"/>
                <w:sz w:val="17"/>
              </w:rPr>
              <w:t xml:space="preserve">Plan de choque contra la lentitud judicial. </w:t>
            </w:r>
            <w:r>
              <w:rPr>
                <w:b w:val="0"/>
                <w:i w:val="0"/>
                <w:color w:val="1F2933"/>
                <w:sz w:val="16"/>
              </w:rPr>
              <w:t>Más jueces, fiscales, letrados y personal de oficina judicial; expediente digital interoperable; indicadores públicos de duración por jurisdicción y territorio.</w:t>
            </w:r>
          </w:p>
        </w:tc>
        <w:tc>
          <w:tcPr>
            <w:tcW w:type="dxa" w:w="1368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FFFFF"/>
          </w:tcPr>
          <w:p>
            <w:pPr>
              <w:jc w:val="center"/>
            </w:pPr>
            <w:r>
              <w:rPr>
                <w:b/>
                <w:i w:val="0"/>
                <w:color w:val="7E2E35"/>
                <w:sz w:val="14"/>
              </w:rPr>
              <w:t>Año 1</w:t>
            </w:r>
          </w:p>
        </w:tc>
      </w:tr>
      <w:tr>
        <w:trPr>
          <w:cantSplit/>
        </w:trPr>
        <w:tc>
          <w:tcPr>
            <w:tcW w:type="dxa" w:w="792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7E2E35"/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19"/>
              </w:rPr>
              <w:t>14</w:t>
            </w:r>
          </w:p>
        </w:tc>
        <w:tc>
          <w:tcPr>
            <w:tcW w:type="dxa" w:w="7344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BFBFD"/>
          </w:tcPr>
          <w:p>
            <w:pPr>
              <w:spacing w:after="20"/>
            </w:pPr>
            <w:r>
              <w:rPr>
                <w:b/>
                <w:i w:val="0"/>
                <w:color w:val="233B5F"/>
                <w:sz w:val="17"/>
              </w:rPr>
              <w:t xml:space="preserve">Juzgados especializados en corrupción compleja. </w:t>
            </w:r>
            <w:r>
              <w:rPr>
                <w:b w:val="0"/>
                <w:i w:val="0"/>
                <w:color w:val="1F2933"/>
                <w:sz w:val="16"/>
              </w:rPr>
              <w:t>Refuerzo de unidades judiciales y periciales para grandes causas económicas, financiación irregular, contratación pública y recuperación de activos.</w:t>
            </w:r>
          </w:p>
        </w:tc>
        <w:tc>
          <w:tcPr>
            <w:tcW w:type="dxa" w:w="1368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BFBFD"/>
          </w:tcPr>
          <w:p>
            <w:pPr>
              <w:jc w:val="center"/>
            </w:pPr>
            <w:r>
              <w:rPr>
                <w:b/>
                <w:i w:val="0"/>
                <w:color w:val="7E2E35"/>
                <w:sz w:val="14"/>
              </w:rPr>
              <w:t>Año 1</w:t>
            </w:r>
          </w:p>
        </w:tc>
      </w:tr>
      <w:tr>
        <w:trPr>
          <w:cantSplit/>
        </w:trPr>
        <w:tc>
          <w:tcPr>
            <w:tcW w:type="dxa" w:w="792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233B5F"/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19"/>
              </w:rPr>
              <w:t>15</w:t>
            </w:r>
          </w:p>
        </w:tc>
        <w:tc>
          <w:tcPr>
            <w:tcW w:type="dxa" w:w="7344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FFFFF"/>
          </w:tcPr>
          <w:p>
            <w:pPr>
              <w:spacing w:after="20"/>
            </w:pPr>
            <w:r>
              <w:rPr>
                <w:b/>
                <w:i w:val="0"/>
                <w:color w:val="233B5F"/>
                <w:sz w:val="17"/>
              </w:rPr>
              <w:t xml:space="preserve">Presupuestos con evaluación de impacto. </w:t>
            </w:r>
            <w:r>
              <w:rPr>
                <w:b w:val="0"/>
                <w:i w:val="0"/>
                <w:color w:val="1F2933"/>
                <w:sz w:val="16"/>
              </w:rPr>
              <w:t>Cada gran programa público deberá incluir coste, objetivo, indicador, plazo y revisión independiente antes de su renovación presupuestaria.</w:t>
            </w:r>
          </w:p>
        </w:tc>
        <w:tc>
          <w:tcPr>
            <w:tcW w:type="dxa" w:w="1368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FFFFF"/>
          </w:tcPr>
          <w:p>
            <w:pPr>
              <w:jc w:val="center"/>
            </w:pPr>
            <w:r>
              <w:rPr>
                <w:b/>
                <w:i w:val="0"/>
                <w:color w:val="7E2E35"/>
                <w:sz w:val="14"/>
              </w:rPr>
              <w:t>Año 1</w:t>
            </w:r>
          </w:p>
        </w:tc>
      </w:tr>
      <w:tr>
        <w:trPr>
          <w:cantSplit/>
        </w:trPr>
        <w:tc>
          <w:tcPr>
            <w:tcW w:type="dxa" w:w="792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7E2E35"/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19"/>
              </w:rPr>
              <w:t>16</w:t>
            </w:r>
          </w:p>
        </w:tc>
        <w:tc>
          <w:tcPr>
            <w:tcW w:type="dxa" w:w="7344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BFBFD"/>
          </w:tcPr>
          <w:p>
            <w:pPr>
              <w:spacing w:after="20"/>
            </w:pPr>
            <w:r>
              <w:rPr>
                <w:b/>
                <w:i w:val="0"/>
                <w:color w:val="233B5F"/>
                <w:sz w:val="17"/>
              </w:rPr>
              <w:t xml:space="preserve">Cláusulas de caducidad normativa. </w:t>
            </w:r>
            <w:r>
              <w:rPr>
                <w:b w:val="0"/>
                <w:i w:val="0"/>
                <w:color w:val="1F2933"/>
                <w:sz w:val="16"/>
              </w:rPr>
              <w:t>Toda nueva agencia, plan o subvención extraordinaria tendrá fecha de revisión y justificación de continuidad para evitar burocracia acumulativa.</w:t>
            </w:r>
          </w:p>
        </w:tc>
        <w:tc>
          <w:tcPr>
            <w:tcW w:type="dxa" w:w="1368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BFBFD"/>
          </w:tcPr>
          <w:p>
            <w:pPr>
              <w:jc w:val="center"/>
            </w:pPr>
            <w:r>
              <w:rPr>
                <w:b/>
                <w:i w:val="0"/>
                <w:color w:val="7E2E35"/>
                <w:sz w:val="14"/>
              </w:rPr>
              <w:t>Año 1</w:t>
            </w:r>
          </w:p>
        </w:tc>
      </w:tr>
      <w:tr>
        <w:trPr>
          <w:cantSplit/>
        </w:trPr>
        <w:tc>
          <w:tcPr>
            <w:tcW w:type="dxa" w:w="792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233B5F"/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19"/>
              </w:rPr>
              <w:t>17</w:t>
            </w:r>
          </w:p>
        </w:tc>
        <w:tc>
          <w:tcPr>
            <w:tcW w:type="dxa" w:w="7344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FFFFF"/>
          </w:tcPr>
          <w:p>
            <w:pPr>
              <w:spacing w:after="20"/>
            </w:pPr>
            <w:r>
              <w:rPr>
                <w:b/>
                <w:i w:val="0"/>
                <w:color w:val="233B5F"/>
                <w:sz w:val="17"/>
              </w:rPr>
              <w:t xml:space="preserve">Simplificación administrativa 2x1. </w:t>
            </w:r>
            <w:r>
              <w:rPr>
                <w:b w:val="0"/>
                <w:i w:val="0"/>
                <w:color w:val="1F2933"/>
                <w:sz w:val="16"/>
              </w:rPr>
              <w:t>Por cada nueva carga documental para ciudadanos y empresas se eliminarán dos trámites equivalentes, con silencio administrativo positivo cuando sea legalmente posible.</w:t>
            </w:r>
          </w:p>
        </w:tc>
        <w:tc>
          <w:tcPr>
            <w:tcW w:type="dxa" w:w="1368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FFFFF"/>
          </w:tcPr>
          <w:p>
            <w:pPr>
              <w:jc w:val="center"/>
            </w:pPr>
            <w:r>
              <w:rPr>
                <w:b/>
                <w:i w:val="0"/>
                <w:color w:val="7E2E35"/>
                <w:sz w:val="14"/>
              </w:rPr>
              <w:t>Año 1</w:t>
            </w:r>
          </w:p>
        </w:tc>
      </w:tr>
      <w:tr>
        <w:trPr>
          <w:cantSplit/>
        </w:trPr>
        <w:tc>
          <w:tcPr>
            <w:tcW w:type="dxa" w:w="792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7E2E35"/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19"/>
              </w:rPr>
              <w:t>18</w:t>
            </w:r>
          </w:p>
        </w:tc>
        <w:tc>
          <w:tcPr>
            <w:tcW w:type="dxa" w:w="7344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BFBFD"/>
          </w:tcPr>
          <w:p>
            <w:pPr>
              <w:spacing w:after="20"/>
            </w:pPr>
            <w:r>
              <w:rPr>
                <w:b/>
                <w:i w:val="0"/>
                <w:color w:val="233B5F"/>
                <w:sz w:val="17"/>
              </w:rPr>
              <w:t xml:space="preserve">Auditoría de entes públicos y fundaciones. </w:t>
            </w:r>
            <w:r>
              <w:rPr>
                <w:b w:val="0"/>
                <w:i w:val="0"/>
                <w:color w:val="1F2933"/>
                <w:sz w:val="16"/>
              </w:rPr>
              <w:t>Mapa completo de organismos, empresas, consorcios y fundaciones públicas, con fusión, cierre o rediseño de estructuras duplicadas.</w:t>
            </w:r>
          </w:p>
        </w:tc>
        <w:tc>
          <w:tcPr>
            <w:tcW w:type="dxa" w:w="1368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BFBFD"/>
          </w:tcPr>
          <w:p>
            <w:pPr>
              <w:jc w:val="center"/>
            </w:pPr>
            <w:r>
              <w:rPr>
                <w:b/>
                <w:i w:val="0"/>
                <w:color w:val="233B5F"/>
                <w:sz w:val="14"/>
              </w:rPr>
              <w:t>100 días</w:t>
            </w:r>
          </w:p>
        </w:tc>
      </w:tr>
      <w:tr>
        <w:trPr>
          <w:cantSplit/>
        </w:trPr>
        <w:tc>
          <w:tcPr>
            <w:tcW w:type="dxa" w:w="792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233B5F"/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19"/>
              </w:rPr>
              <w:t>19</w:t>
            </w:r>
          </w:p>
        </w:tc>
        <w:tc>
          <w:tcPr>
            <w:tcW w:type="dxa" w:w="7344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FFFFF"/>
          </w:tcPr>
          <w:p>
            <w:pPr>
              <w:spacing w:after="20"/>
            </w:pPr>
            <w:r>
              <w:rPr>
                <w:b/>
                <w:i w:val="0"/>
                <w:color w:val="233B5F"/>
                <w:sz w:val="17"/>
              </w:rPr>
              <w:t xml:space="preserve">Carta de derechos del ciudadano ante la Administración. </w:t>
            </w:r>
            <w:r>
              <w:rPr>
                <w:b w:val="0"/>
                <w:i w:val="0"/>
                <w:color w:val="1F2933"/>
                <w:sz w:val="16"/>
              </w:rPr>
              <w:t>Plazos máximos, lenguaje claro, trazabilidad de expedientes y compensación cuando el retraso administrativo cause perjuicio acreditado.</w:t>
            </w:r>
          </w:p>
        </w:tc>
        <w:tc>
          <w:tcPr>
            <w:tcW w:type="dxa" w:w="1368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FFFFF"/>
          </w:tcPr>
          <w:p>
            <w:pPr>
              <w:jc w:val="center"/>
            </w:pPr>
            <w:r>
              <w:rPr>
                <w:b/>
                <w:i w:val="0"/>
                <w:color w:val="7E2E35"/>
                <w:sz w:val="14"/>
              </w:rPr>
              <w:t>Legislatura</w:t>
            </w:r>
          </w:p>
        </w:tc>
      </w:tr>
      <w:tr>
        <w:trPr>
          <w:cantSplit/>
        </w:trPr>
        <w:tc>
          <w:tcPr>
            <w:tcW w:type="dxa" w:w="792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7E2E35"/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19"/>
              </w:rPr>
              <w:t>20</w:t>
            </w:r>
          </w:p>
        </w:tc>
        <w:tc>
          <w:tcPr>
            <w:tcW w:type="dxa" w:w="7344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BFBFD"/>
          </w:tcPr>
          <w:p>
            <w:pPr>
              <w:spacing w:after="20"/>
            </w:pPr>
            <w:r>
              <w:rPr>
                <w:b/>
                <w:i w:val="0"/>
                <w:color w:val="233B5F"/>
                <w:sz w:val="17"/>
              </w:rPr>
              <w:t xml:space="preserve">Ciberseguridad institucional del Estado. </w:t>
            </w:r>
            <w:r>
              <w:rPr>
                <w:b w:val="0"/>
                <w:i w:val="0"/>
                <w:color w:val="1F2933"/>
                <w:sz w:val="16"/>
              </w:rPr>
              <w:t>Estándares obligatorios de seguridad, copias soberanas de datos críticos, simulacros anuales y certificación para proveedores tecnológicos públicos.</w:t>
            </w:r>
          </w:p>
        </w:tc>
        <w:tc>
          <w:tcPr>
            <w:tcW w:type="dxa" w:w="1368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BFBFD"/>
          </w:tcPr>
          <w:p>
            <w:pPr>
              <w:jc w:val="center"/>
            </w:pPr>
            <w:r>
              <w:rPr>
                <w:b/>
                <w:i w:val="0"/>
                <w:color w:val="7E2E35"/>
                <w:sz w:val="14"/>
              </w:rPr>
              <w:t>Año 1</w:t>
            </w:r>
          </w:p>
        </w:tc>
      </w:tr>
    </w:tbl>
    <w:p>
      <w:r>
        <w:br w:type="page"/>
      </w:r>
    </w:p>
    <w:p>
      <w:pPr>
        <w:jc w:val="left"/>
      </w:pPr>
      <w:r>
        <w:rPr>
          <w:b/>
          <w:i w:val="0"/>
          <w:color w:val="CFA96E"/>
          <w:sz w:val="26"/>
        </w:rPr>
        <w:t>II</w:t>
      </w:r>
      <w:r>
        <w:rPr>
          <w:b w:val="0"/>
          <w:i w:val="0"/>
          <w:sz w:val="26"/>
        </w:rPr>
        <w:t xml:space="preserve">  </w:t>
      </w:r>
      <w:r>
        <w:rPr>
          <w:b/>
          <w:i w:val="0"/>
          <w:color w:val="7E2E35"/>
          <w:sz w:val="36"/>
        </w:rPr>
        <w:t>Unidad Nacional</w:t>
      </w:r>
    </w:p>
    <w:p>
      <w:r>
        <w:rPr>
          <w:b w:val="0"/>
          <w:i/>
          <w:color w:val="5A6473"/>
          <w:sz w:val="21"/>
        </w:rPr>
        <w:t>España como Bastión Cultural</w:t>
      </w:r>
    </w:p>
    <w:p>
      <w:pPr>
        <w:pBdr>
          <w:bottom w:val="single" w:sz="8" w:space="1" w:color="CFA96E"/>
        </w:pBdr>
      </w:pPr>
    </w:p>
    <w:p>
      <w:r>
        <w:rPr>
          <w:b w:val="0"/>
          <w:i w:val="0"/>
          <w:color w:val="1F2933"/>
          <w:sz w:val="18"/>
        </w:rPr>
        <w:t>Objetivo: asegurar igualdad de derechos, continuidad cultural y cohesión territorial sin uniformismo, desde la Constitución y la cooperación leal.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792"/>
        <w:gridCol w:w="7344"/>
        <w:gridCol w:w="1368"/>
      </w:tblGrid>
      <w:tr>
        <w:trPr>
          <w:cantSplit/>
        </w:trPr>
        <w:tc>
          <w:tcPr>
            <w:tcW w:type="dxa" w:w="792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233B5F"/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19"/>
              </w:rPr>
              <w:t>21</w:t>
            </w:r>
          </w:p>
        </w:tc>
        <w:tc>
          <w:tcPr>
            <w:tcW w:type="dxa" w:w="7344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FFFFF"/>
          </w:tcPr>
          <w:p>
            <w:pPr>
              <w:spacing w:after="20"/>
            </w:pPr>
            <w:r>
              <w:rPr>
                <w:b/>
                <w:i w:val="0"/>
                <w:color w:val="233B5F"/>
                <w:sz w:val="17"/>
              </w:rPr>
              <w:t xml:space="preserve">Garantía común de servicios esenciales. </w:t>
            </w:r>
            <w:r>
              <w:rPr>
                <w:b w:val="0"/>
                <w:i w:val="0"/>
                <w:color w:val="1F2933"/>
                <w:sz w:val="16"/>
              </w:rPr>
              <w:t>Cartera mínima nacional de educación, sanidad, justicia y dependencia para asegurar igualdad de derechos básicos con independencia del territorio.</w:t>
            </w:r>
          </w:p>
        </w:tc>
        <w:tc>
          <w:tcPr>
            <w:tcW w:type="dxa" w:w="1368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FFFFF"/>
          </w:tcPr>
          <w:p>
            <w:pPr>
              <w:jc w:val="center"/>
            </w:pPr>
            <w:r>
              <w:rPr>
                <w:b/>
                <w:i w:val="0"/>
                <w:color w:val="7E2E35"/>
                <w:sz w:val="14"/>
              </w:rPr>
              <w:t>Legislatura</w:t>
            </w:r>
          </w:p>
        </w:tc>
      </w:tr>
      <w:tr>
        <w:trPr>
          <w:cantSplit/>
        </w:trPr>
        <w:tc>
          <w:tcPr>
            <w:tcW w:type="dxa" w:w="792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7E2E35"/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19"/>
              </w:rPr>
              <w:t>22</w:t>
            </w:r>
          </w:p>
        </w:tc>
        <w:tc>
          <w:tcPr>
            <w:tcW w:type="dxa" w:w="7344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BFBFD"/>
          </w:tcPr>
          <w:p>
            <w:pPr>
              <w:spacing w:after="20"/>
            </w:pPr>
            <w:r>
              <w:rPr>
                <w:b/>
                <w:i w:val="0"/>
                <w:color w:val="233B5F"/>
                <w:sz w:val="17"/>
              </w:rPr>
              <w:t xml:space="preserve">Plan Nacional de Cohesión Educativa. </w:t>
            </w:r>
            <w:r>
              <w:rPr>
                <w:b w:val="0"/>
                <w:i w:val="0"/>
                <w:color w:val="1F2933"/>
                <w:sz w:val="16"/>
              </w:rPr>
              <w:t>Estándares comunes en Lengua, Matemáticas, Historia, Constitución, Geografía y Ciencias, con evaluaciones comparables y planes de apoyo por centro.</w:t>
            </w:r>
          </w:p>
        </w:tc>
        <w:tc>
          <w:tcPr>
            <w:tcW w:type="dxa" w:w="1368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BFBFD"/>
          </w:tcPr>
          <w:p>
            <w:pPr>
              <w:jc w:val="center"/>
            </w:pPr>
            <w:r>
              <w:rPr>
                <w:b/>
                <w:i w:val="0"/>
                <w:color w:val="7E2E35"/>
                <w:sz w:val="14"/>
              </w:rPr>
              <w:t>Año 1</w:t>
            </w:r>
          </w:p>
        </w:tc>
      </w:tr>
      <w:tr>
        <w:trPr>
          <w:cantSplit/>
        </w:trPr>
        <w:tc>
          <w:tcPr>
            <w:tcW w:type="dxa" w:w="792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233B5F"/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19"/>
              </w:rPr>
              <w:t>23</w:t>
            </w:r>
          </w:p>
        </w:tc>
        <w:tc>
          <w:tcPr>
            <w:tcW w:type="dxa" w:w="7344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FFFFF"/>
          </w:tcPr>
          <w:p>
            <w:pPr>
              <w:spacing w:after="20"/>
            </w:pPr>
            <w:r>
              <w:rPr>
                <w:b/>
                <w:i w:val="0"/>
                <w:color w:val="233B5F"/>
                <w:sz w:val="17"/>
              </w:rPr>
              <w:t xml:space="preserve">Derechos lingüísticos de todos los españoles. </w:t>
            </w:r>
            <w:r>
              <w:rPr>
                <w:b w:val="0"/>
                <w:i w:val="0"/>
                <w:color w:val="1F2933"/>
                <w:sz w:val="16"/>
              </w:rPr>
              <w:t>Garantía de atención en castellano en todo el territorio nacional y protección de lenguas cooficiales en sus comunidades sin exclusión ni discriminación.</w:t>
            </w:r>
          </w:p>
        </w:tc>
        <w:tc>
          <w:tcPr>
            <w:tcW w:type="dxa" w:w="1368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FFFFF"/>
          </w:tcPr>
          <w:p>
            <w:pPr>
              <w:jc w:val="center"/>
            </w:pPr>
            <w:r>
              <w:rPr>
                <w:b/>
                <w:i w:val="0"/>
                <w:color w:val="7E2E35"/>
                <w:sz w:val="14"/>
              </w:rPr>
              <w:t>Año 1</w:t>
            </w:r>
          </w:p>
        </w:tc>
      </w:tr>
      <w:tr>
        <w:trPr>
          <w:cantSplit/>
        </w:trPr>
        <w:tc>
          <w:tcPr>
            <w:tcW w:type="dxa" w:w="792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7E2E35"/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19"/>
              </w:rPr>
              <w:t>24</w:t>
            </w:r>
          </w:p>
        </w:tc>
        <w:tc>
          <w:tcPr>
            <w:tcW w:type="dxa" w:w="7344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BFBFD"/>
          </w:tcPr>
          <w:p>
            <w:pPr>
              <w:spacing w:after="20"/>
            </w:pPr>
            <w:r>
              <w:rPr>
                <w:b/>
                <w:i w:val="0"/>
                <w:color w:val="233B5F"/>
                <w:sz w:val="17"/>
              </w:rPr>
              <w:t xml:space="preserve">Historia de España y Europa sin fragmentación. </w:t>
            </w:r>
            <w:r>
              <w:rPr>
                <w:b w:val="0"/>
                <w:i w:val="0"/>
                <w:color w:val="1F2933"/>
                <w:sz w:val="16"/>
              </w:rPr>
              <w:t>Currículo común de historia constitucional, legado cultural, descubrimientos científicos, integración europea e Iberosfera, con pluralidad académica y rigor documental.</w:t>
            </w:r>
          </w:p>
        </w:tc>
        <w:tc>
          <w:tcPr>
            <w:tcW w:type="dxa" w:w="1368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BFBFD"/>
          </w:tcPr>
          <w:p>
            <w:pPr>
              <w:jc w:val="center"/>
            </w:pPr>
            <w:r>
              <w:rPr>
                <w:b/>
                <w:i w:val="0"/>
                <w:color w:val="7E2E35"/>
                <w:sz w:val="14"/>
              </w:rPr>
              <w:t>Año 1</w:t>
            </w:r>
          </w:p>
        </w:tc>
      </w:tr>
      <w:tr>
        <w:trPr>
          <w:cantSplit/>
        </w:trPr>
        <w:tc>
          <w:tcPr>
            <w:tcW w:type="dxa" w:w="792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233B5F"/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19"/>
              </w:rPr>
              <w:t>25</w:t>
            </w:r>
          </w:p>
        </w:tc>
        <w:tc>
          <w:tcPr>
            <w:tcW w:type="dxa" w:w="7344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FFFFF"/>
          </w:tcPr>
          <w:p>
            <w:pPr>
              <w:spacing w:after="20"/>
            </w:pPr>
            <w:r>
              <w:rPr>
                <w:b/>
                <w:i w:val="0"/>
                <w:color w:val="233B5F"/>
                <w:sz w:val="17"/>
              </w:rPr>
              <w:t xml:space="preserve">Estatuto del Patrimonio Histórico-Español. </w:t>
            </w:r>
            <w:r>
              <w:rPr>
                <w:b w:val="0"/>
                <w:i w:val="0"/>
                <w:color w:val="1F2933"/>
                <w:sz w:val="16"/>
              </w:rPr>
              <w:t>Blindaje reforzado de monumentos, archivos, símbolos constitucionales, rutas históricas, patrimonio religioso-cultural y bienes en riesgo de abandono.</w:t>
            </w:r>
          </w:p>
        </w:tc>
        <w:tc>
          <w:tcPr>
            <w:tcW w:type="dxa" w:w="1368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FFFFF"/>
          </w:tcPr>
          <w:p>
            <w:pPr>
              <w:jc w:val="center"/>
            </w:pPr>
            <w:r>
              <w:rPr>
                <w:b/>
                <w:i w:val="0"/>
                <w:color w:val="7E2E35"/>
                <w:sz w:val="14"/>
              </w:rPr>
              <w:t>Legislatura</w:t>
            </w:r>
          </w:p>
        </w:tc>
      </w:tr>
      <w:tr>
        <w:trPr>
          <w:cantSplit/>
        </w:trPr>
        <w:tc>
          <w:tcPr>
            <w:tcW w:type="dxa" w:w="792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7E2E35"/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19"/>
              </w:rPr>
              <w:t>26</w:t>
            </w:r>
          </w:p>
        </w:tc>
        <w:tc>
          <w:tcPr>
            <w:tcW w:type="dxa" w:w="7344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BFBFD"/>
          </w:tcPr>
          <w:p>
            <w:pPr>
              <w:spacing w:after="20"/>
            </w:pPr>
            <w:r>
              <w:rPr>
                <w:b/>
                <w:i w:val="0"/>
                <w:color w:val="233B5F"/>
                <w:sz w:val="17"/>
              </w:rPr>
              <w:t xml:space="preserve">Programa de recuperación de patrimonio rural. </w:t>
            </w:r>
            <w:r>
              <w:rPr>
                <w:b w:val="0"/>
                <w:i w:val="0"/>
                <w:color w:val="1F2933"/>
                <w:sz w:val="16"/>
              </w:rPr>
              <w:t>Financiación competitiva para rehabilitar castillos, monasterios, arquitectura popular, archivos municipales y caminos históricos vinculados a empleo local.</w:t>
            </w:r>
          </w:p>
        </w:tc>
        <w:tc>
          <w:tcPr>
            <w:tcW w:type="dxa" w:w="1368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BFBFD"/>
          </w:tcPr>
          <w:p>
            <w:pPr>
              <w:jc w:val="center"/>
            </w:pPr>
            <w:r>
              <w:rPr>
                <w:b/>
                <w:i w:val="0"/>
                <w:color w:val="7E2E35"/>
                <w:sz w:val="14"/>
              </w:rPr>
              <w:t>Año 1</w:t>
            </w:r>
          </w:p>
        </w:tc>
      </w:tr>
      <w:tr>
        <w:trPr>
          <w:cantSplit/>
        </w:trPr>
        <w:tc>
          <w:tcPr>
            <w:tcW w:type="dxa" w:w="792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233B5F"/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19"/>
              </w:rPr>
              <w:t>27</w:t>
            </w:r>
          </w:p>
        </w:tc>
        <w:tc>
          <w:tcPr>
            <w:tcW w:type="dxa" w:w="7344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FFFFF"/>
          </w:tcPr>
          <w:p>
            <w:pPr>
              <w:spacing w:after="20"/>
            </w:pPr>
            <w:r>
              <w:rPr>
                <w:b/>
                <w:i w:val="0"/>
                <w:color w:val="233B5F"/>
                <w:sz w:val="17"/>
              </w:rPr>
              <w:t xml:space="preserve">Marca España cultural e idiomática. </w:t>
            </w:r>
            <w:r>
              <w:rPr>
                <w:b w:val="0"/>
                <w:i w:val="0"/>
                <w:color w:val="1F2933"/>
                <w:sz w:val="16"/>
              </w:rPr>
              <w:t>Estrategia exterior para el español, la cultura española, la edición, el audiovisual, los videojuegos históricos y el turismo patrimonial de alto valor.</w:t>
            </w:r>
          </w:p>
        </w:tc>
        <w:tc>
          <w:tcPr>
            <w:tcW w:type="dxa" w:w="1368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FFFFF"/>
          </w:tcPr>
          <w:p>
            <w:pPr>
              <w:jc w:val="center"/>
            </w:pPr>
            <w:r>
              <w:rPr>
                <w:b/>
                <w:i w:val="0"/>
                <w:color w:val="7E2E35"/>
                <w:sz w:val="14"/>
              </w:rPr>
              <w:t>Año 1</w:t>
            </w:r>
          </w:p>
        </w:tc>
      </w:tr>
      <w:tr>
        <w:trPr>
          <w:cantSplit/>
        </w:trPr>
        <w:tc>
          <w:tcPr>
            <w:tcW w:type="dxa" w:w="792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7E2E35"/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19"/>
              </w:rPr>
              <w:t>28</w:t>
            </w:r>
          </w:p>
        </w:tc>
        <w:tc>
          <w:tcPr>
            <w:tcW w:type="dxa" w:w="7344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BFBFD"/>
          </w:tcPr>
          <w:p>
            <w:pPr>
              <w:spacing w:after="20"/>
            </w:pPr>
            <w:r>
              <w:rPr>
                <w:b/>
                <w:i w:val="0"/>
                <w:color w:val="233B5F"/>
                <w:sz w:val="17"/>
              </w:rPr>
              <w:t xml:space="preserve">Hispanidad estratégica. </w:t>
            </w:r>
            <w:r>
              <w:rPr>
                <w:b w:val="0"/>
                <w:i w:val="0"/>
                <w:color w:val="1F2933"/>
                <w:sz w:val="16"/>
              </w:rPr>
              <w:t>Cumbre anual España-Iberosfera para comercio, educación superior, defensa civil, infraestructura, movilidad cualificada y cooperación cultural.</w:t>
            </w:r>
          </w:p>
        </w:tc>
        <w:tc>
          <w:tcPr>
            <w:tcW w:type="dxa" w:w="1368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BFBFD"/>
          </w:tcPr>
          <w:p>
            <w:pPr>
              <w:jc w:val="center"/>
            </w:pPr>
            <w:r>
              <w:rPr>
                <w:b/>
                <w:i w:val="0"/>
                <w:color w:val="7E2E35"/>
                <w:sz w:val="14"/>
              </w:rPr>
              <w:t>Año 1</w:t>
            </w:r>
          </w:p>
        </w:tc>
      </w:tr>
      <w:tr>
        <w:trPr>
          <w:cantSplit/>
        </w:trPr>
        <w:tc>
          <w:tcPr>
            <w:tcW w:type="dxa" w:w="792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233B5F"/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19"/>
              </w:rPr>
              <w:t>29</w:t>
            </w:r>
          </w:p>
        </w:tc>
        <w:tc>
          <w:tcPr>
            <w:tcW w:type="dxa" w:w="7344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FFFFF"/>
          </w:tcPr>
          <w:p>
            <w:pPr>
              <w:spacing w:after="20"/>
            </w:pPr>
            <w:r>
              <w:rPr>
                <w:b/>
                <w:i w:val="0"/>
                <w:color w:val="233B5F"/>
                <w:sz w:val="17"/>
              </w:rPr>
              <w:t xml:space="preserve">Fondo de equilibrio territorial. </w:t>
            </w:r>
            <w:r>
              <w:rPr>
                <w:b w:val="0"/>
                <w:i w:val="0"/>
                <w:color w:val="1F2933"/>
                <w:sz w:val="16"/>
              </w:rPr>
              <w:t>Inversión plurianual en despoblación, transporte comarcal, sanidad rural, conectividad, vivienda joven y actividad económica en municipios vulnerables.</w:t>
            </w:r>
          </w:p>
        </w:tc>
        <w:tc>
          <w:tcPr>
            <w:tcW w:type="dxa" w:w="1368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FFFFF"/>
          </w:tcPr>
          <w:p>
            <w:pPr>
              <w:jc w:val="center"/>
            </w:pPr>
            <w:r>
              <w:rPr>
                <w:b/>
                <w:i w:val="0"/>
                <w:color w:val="7E2E35"/>
                <w:sz w:val="14"/>
              </w:rPr>
              <w:t>Legislatura</w:t>
            </w:r>
          </w:p>
        </w:tc>
      </w:tr>
      <w:tr>
        <w:trPr>
          <w:cantSplit/>
        </w:trPr>
        <w:tc>
          <w:tcPr>
            <w:tcW w:type="dxa" w:w="792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7E2E35"/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19"/>
              </w:rPr>
              <w:t>30</w:t>
            </w:r>
          </w:p>
        </w:tc>
        <w:tc>
          <w:tcPr>
            <w:tcW w:type="dxa" w:w="7344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BFBFD"/>
          </w:tcPr>
          <w:p>
            <w:pPr>
              <w:spacing w:after="20"/>
            </w:pPr>
            <w:r>
              <w:rPr>
                <w:b/>
                <w:i w:val="0"/>
                <w:color w:val="233B5F"/>
                <w:sz w:val="17"/>
              </w:rPr>
              <w:t xml:space="preserve">Conectividad 5G y fibra en el mundo rural. </w:t>
            </w:r>
            <w:r>
              <w:rPr>
                <w:b w:val="0"/>
                <w:i w:val="0"/>
                <w:color w:val="1F2933"/>
                <w:sz w:val="16"/>
              </w:rPr>
              <w:t>Cobertura universal efectiva con obligaciones de servicio, itinerancia rural y centros digitales comarcales para autónomos, agricultores y estudiantes.</w:t>
            </w:r>
          </w:p>
        </w:tc>
        <w:tc>
          <w:tcPr>
            <w:tcW w:type="dxa" w:w="1368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BFBFD"/>
          </w:tcPr>
          <w:p>
            <w:pPr>
              <w:jc w:val="center"/>
            </w:pPr>
            <w:r>
              <w:rPr>
                <w:b/>
                <w:i w:val="0"/>
                <w:color w:val="7E2E35"/>
                <w:sz w:val="14"/>
              </w:rPr>
              <w:t>Legislatura</w:t>
            </w:r>
          </w:p>
        </w:tc>
      </w:tr>
      <w:tr>
        <w:trPr>
          <w:cantSplit/>
        </w:trPr>
        <w:tc>
          <w:tcPr>
            <w:tcW w:type="dxa" w:w="792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233B5F"/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19"/>
              </w:rPr>
              <w:t>31</w:t>
            </w:r>
          </w:p>
        </w:tc>
        <w:tc>
          <w:tcPr>
            <w:tcW w:type="dxa" w:w="7344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FFFFF"/>
          </w:tcPr>
          <w:p>
            <w:pPr>
              <w:spacing w:after="20"/>
            </w:pPr>
            <w:r>
              <w:rPr>
                <w:b/>
                <w:i w:val="0"/>
                <w:color w:val="233B5F"/>
                <w:sz w:val="17"/>
              </w:rPr>
              <w:t xml:space="preserve">Plan nacional de vivienda en municipios pequeños. </w:t>
            </w:r>
            <w:r>
              <w:rPr>
                <w:b w:val="0"/>
                <w:i w:val="0"/>
                <w:color w:val="1F2933"/>
                <w:sz w:val="16"/>
              </w:rPr>
              <w:t>Cesión de suelo y rehabilitación de casas vacías para jóvenes, familias, maestros, sanitarios, guardias civiles y emprendedores rurales.</w:t>
            </w:r>
          </w:p>
        </w:tc>
        <w:tc>
          <w:tcPr>
            <w:tcW w:type="dxa" w:w="1368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FFFFF"/>
          </w:tcPr>
          <w:p>
            <w:pPr>
              <w:jc w:val="center"/>
            </w:pPr>
            <w:r>
              <w:rPr>
                <w:b/>
                <w:i w:val="0"/>
                <w:color w:val="7E2E35"/>
                <w:sz w:val="14"/>
              </w:rPr>
              <w:t>Año 1</w:t>
            </w:r>
          </w:p>
        </w:tc>
      </w:tr>
      <w:tr>
        <w:trPr>
          <w:cantSplit/>
        </w:trPr>
        <w:tc>
          <w:tcPr>
            <w:tcW w:type="dxa" w:w="792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7E2E35"/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19"/>
              </w:rPr>
              <w:t>32</w:t>
            </w:r>
          </w:p>
        </w:tc>
        <w:tc>
          <w:tcPr>
            <w:tcW w:type="dxa" w:w="7344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BFBFD"/>
          </w:tcPr>
          <w:p>
            <w:pPr>
              <w:spacing w:after="20"/>
            </w:pPr>
            <w:r>
              <w:rPr>
                <w:b/>
                <w:i w:val="0"/>
                <w:color w:val="233B5F"/>
                <w:sz w:val="17"/>
              </w:rPr>
              <w:t xml:space="preserve">Infraestructuras de cohesión. </w:t>
            </w:r>
            <w:r>
              <w:rPr>
                <w:b w:val="0"/>
                <w:i w:val="0"/>
                <w:color w:val="1F2933"/>
                <w:sz w:val="16"/>
              </w:rPr>
              <w:t>Prioridad a corredores ferroviarios, carreteras secundarias seguras, puertos logísticos, conexiones transfronterizas y mantenimiento antes que obras de bajo retorno social.</w:t>
            </w:r>
          </w:p>
        </w:tc>
        <w:tc>
          <w:tcPr>
            <w:tcW w:type="dxa" w:w="1368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BFBFD"/>
          </w:tcPr>
          <w:p>
            <w:pPr>
              <w:jc w:val="center"/>
            </w:pPr>
            <w:r>
              <w:rPr>
                <w:b/>
                <w:i w:val="0"/>
                <w:color w:val="7E2E35"/>
                <w:sz w:val="14"/>
              </w:rPr>
              <w:t>Legislatura</w:t>
            </w:r>
          </w:p>
        </w:tc>
      </w:tr>
      <w:tr>
        <w:trPr>
          <w:cantSplit/>
        </w:trPr>
        <w:tc>
          <w:tcPr>
            <w:tcW w:type="dxa" w:w="792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233B5F"/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19"/>
              </w:rPr>
              <w:t>33</w:t>
            </w:r>
          </w:p>
        </w:tc>
        <w:tc>
          <w:tcPr>
            <w:tcW w:type="dxa" w:w="7344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FFFFF"/>
          </w:tcPr>
          <w:p>
            <w:pPr>
              <w:spacing w:after="20"/>
            </w:pPr>
            <w:r>
              <w:rPr>
                <w:b/>
                <w:i w:val="0"/>
                <w:color w:val="233B5F"/>
                <w:sz w:val="17"/>
              </w:rPr>
              <w:t xml:space="preserve">Protección jurídica de la unidad territorial. </w:t>
            </w:r>
            <w:r>
              <w:rPr>
                <w:b w:val="0"/>
                <w:i w:val="0"/>
                <w:color w:val="1F2933"/>
                <w:sz w:val="16"/>
              </w:rPr>
              <w:t>Persecución de la malversación o desobediencia institucional destinada a quebrar el orden constitucional, con control de subvenciones y convenios.</w:t>
            </w:r>
          </w:p>
        </w:tc>
        <w:tc>
          <w:tcPr>
            <w:tcW w:type="dxa" w:w="1368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FFFFF"/>
          </w:tcPr>
          <w:p>
            <w:pPr>
              <w:jc w:val="center"/>
            </w:pPr>
            <w:r>
              <w:rPr>
                <w:b/>
                <w:i w:val="0"/>
                <w:color w:val="7E2E35"/>
                <w:sz w:val="14"/>
              </w:rPr>
              <w:t>Año 1</w:t>
            </w:r>
          </w:p>
        </w:tc>
      </w:tr>
      <w:tr>
        <w:trPr>
          <w:cantSplit/>
        </w:trPr>
        <w:tc>
          <w:tcPr>
            <w:tcW w:type="dxa" w:w="792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7E2E35"/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19"/>
              </w:rPr>
              <w:t>34</w:t>
            </w:r>
          </w:p>
        </w:tc>
        <w:tc>
          <w:tcPr>
            <w:tcW w:type="dxa" w:w="7344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BFBFD"/>
          </w:tcPr>
          <w:p>
            <w:pPr>
              <w:spacing w:after="20"/>
            </w:pPr>
            <w:r>
              <w:rPr>
                <w:b/>
                <w:i w:val="0"/>
                <w:color w:val="233B5F"/>
                <w:sz w:val="17"/>
              </w:rPr>
              <w:t xml:space="preserve">Neutralidad institucional. </w:t>
            </w:r>
            <w:r>
              <w:rPr>
                <w:b w:val="0"/>
                <w:i w:val="0"/>
                <w:color w:val="1F2933"/>
                <w:sz w:val="16"/>
              </w:rPr>
              <w:t>Prohibición de utilizar edificios, campañas o medios públicos para fines partidistas o contrarios al marco constitucional de convivencia.</w:t>
            </w:r>
          </w:p>
        </w:tc>
        <w:tc>
          <w:tcPr>
            <w:tcW w:type="dxa" w:w="1368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BFBFD"/>
          </w:tcPr>
          <w:p>
            <w:pPr>
              <w:jc w:val="center"/>
            </w:pPr>
            <w:r>
              <w:rPr>
                <w:b/>
                <w:i w:val="0"/>
                <w:color w:val="7E2E35"/>
                <w:sz w:val="14"/>
              </w:rPr>
              <w:t>Año 1</w:t>
            </w:r>
          </w:p>
        </w:tc>
      </w:tr>
      <w:tr>
        <w:trPr>
          <w:cantSplit/>
        </w:trPr>
        <w:tc>
          <w:tcPr>
            <w:tcW w:type="dxa" w:w="792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233B5F"/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19"/>
              </w:rPr>
              <w:t>35</w:t>
            </w:r>
          </w:p>
        </w:tc>
        <w:tc>
          <w:tcPr>
            <w:tcW w:type="dxa" w:w="7344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FFFFF"/>
          </w:tcPr>
          <w:p>
            <w:pPr>
              <w:spacing w:after="20"/>
            </w:pPr>
            <w:r>
              <w:rPr>
                <w:b/>
                <w:i w:val="0"/>
                <w:color w:val="233B5F"/>
                <w:sz w:val="17"/>
              </w:rPr>
              <w:t xml:space="preserve">Financiación autonómica transparente. </w:t>
            </w:r>
            <w:r>
              <w:rPr>
                <w:b w:val="0"/>
                <w:i w:val="0"/>
                <w:color w:val="1F2933"/>
                <w:sz w:val="16"/>
              </w:rPr>
              <w:t>Nuevo modelo basado en población ajustada, coste real de servicios, corresponsabilidad fiscal, ordinalidad razonable y publicación de balanzas metodológicamente auditables.</w:t>
            </w:r>
          </w:p>
        </w:tc>
        <w:tc>
          <w:tcPr>
            <w:tcW w:type="dxa" w:w="1368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FFFFF"/>
          </w:tcPr>
          <w:p>
            <w:pPr>
              <w:jc w:val="center"/>
            </w:pPr>
            <w:r>
              <w:rPr>
                <w:b/>
                <w:i w:val="0"/>
                <w:color w:val="7E2E35"/>
                <w:sz w:val="14"/>
              </w:rPr>
              <w:t>Legislatura</w:t>
            </w:r>
          </w:p>
        </w:tc>
      </w:tr>
      <w:tr>
        <w:trPr>
          <w:cantSplit/>
        </w:trPr>
        <w:tc>
          <w:tcPr>
            <w:tcW w:type="dxa" w:w="792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7E2E35"/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19"/>
              </w:rPr>
              <w:t>36</w:t>
            </w:r>
          </w:p>
        </w:tc>
        <w:tc>
          <w:tcPr>
            <w:tcW w:type="dxa" w:w="7344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BFBFD"/>
          </w:tcPr>
          <w:p>
            <w:pPr>
              <w:spacing w:after="20"/>
            </w:pPr>
            <w:r>
              <w:rPr>
                <w:b/>
                <w:i w:val="0"/>
                <w:color w:val="233B5F"/>
                <w:sz w:val="17"/>
              </w:rPr>
              <w:t xml:space="preserve">Tarjeta ciudadana interoperable. </w:t>
            </w:r>
            <w:r>
              <w:rPr>
                <w:b w:val="0"/>
                <w:i w:val="0"/>
                <w:color w:val="1F2933"/>
                <w:sz w:val="16"/>
              </w:rPr>
              <w:t>Acceso unificado a expedientes, recetas, títulos, ayudas y certificados para cualquier ciudadano desplazado entre comunidades autónomas.</w:t>
            </w:r>
          </w:p>
        </w:tc>
        <w:tc>
          <w:tcPr>
            <w:tcW w:type="dxa" w:w="1368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BFBFD"/>
          </w:tcPr>
          <w:p>
            <w:pPr>
              <w:jc w:val="center"/>
            </w:pPr>
            <w:r>
              <w:rPr>
                <w:b/>
                <w:i w:val="0"/>
                <w:color w:val="7E2E35"/>
                <w:sz w:val="14"/>
              </w:rPr>
              <w:t>Legislatura</w:t>
            </w:r>
          </w:p>
        </w:tc>
      </w:tr>
      <w:tr>
        <w:trPr>
          <w:cantSplit/>
        </w:trPr>
        <w:tc>
          <w:tcPr>
            <w:tcW w:type="dxa" w:w="792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233B5F"/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19"/>
              </w:rPr>
              <w:t>37</w:t>
            </w:r>
          </w:p>
        </w:tc>
        <w:tc>
          <w:tcPr>
            <w:tcW w:type="dxa" w:w="7344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FFFFF"/>
          </w:tcPr>
          <w:p>
            <w:pPr>
              <w:spacing w:after="20"/>
            </w:pPr>
            <w:r>
              <w:rPr>
                <w:b/>
                <w:i w:val="0"/>
                <w:color w:val="233B5F"/>
                <w:sz w:val="17"/>
              </w:rPr>
              <w:t xml:space="preserve">Coordinación de seguridad nacional y autonómica. </w:t>
            </w:r>
            <w:r>
              <w:rPr>
                <w:b w:val="0"/>
                <w:i w:val="0"/>
                <w:color w:val="1F2933"/>
                <w:sz w:val="16"/>
              </w:rPr>
              <w:t>Protocolos de intercambio de información, mando operativo claro en crisis y formación común entre Policía Nacional, Guardia Civil y cuerpos autonómicos.</w:t>
            </w:r>
          </w:p>
        </w:tc>
        <w:tc>
          <w:tcPr>
            <w:tcW w:type="dxa" w:w="1368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FFFFF"/>
          </w:tcPr>
          <w:p>
            <w:pPr>
              <w:jc w:val="center"/>
            </w:pPr>
            <w:r>
              <w:rPr>
                <w:b/>
                <w:i w:val="0"/>
                <w:color w:val="7E2E35"/>
                <w:sz w:val="14"/>
              </w:rPr>
              <w:t>Año 1</w:t>
            </w:r>
          </w:p>
        </w:tc>
      </w:tr>
      <w:tr>
        <w:trPr>
          <w:cantSplit/>
        </w:trPr>
        <w:tc>
          <w:tcPr>
            <w:tcW w:type="dxa" w:w="792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7E2E35"/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19"/>
              </w:rPr>
              <w:t>38</w:t>
            </w:r>
          </w:p>
        </w:tc>
        <w:tc>
          <w:tcPr>
            <w:tcW w:type="dxa" w:w="7344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BFBFD"/>
          </w:tcPr>
          <w:p>
            <w:pPr>
              <w:spacing w:after="20"/>
            </w:pPr>
            <w:r>
              <w:rPr>
                <w:b/>
                <w:i w:val="0"/>
                <w:color w:val="233B5F"/>
                <w:sz w:val="17"/>
              </w:rPr>
              <w:t xml:space="preserve">Servicio Cívico Voluntario. </w:t>
            </w:r>
            <w:r>
              <w:rPr>
                <w:b w:val="0"/>
                <w:i w:val="0"/>
                <w:color w:val="1F2933"/>
                <w:sz w:val="16"/>
              </w:rPr>
              <w:t>Programa no obligatorio de seis a doce meses en protección civil, patrimonio, medio rural, asistencia social, emergencias y cooperación internacional.</w:t>
            </w:r>
          </w:p>
        </w:tc>
        <w:tc>
          <w:tcPr>
            <w:tcW w:type="dxa" w:w="1368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BFBFD"/>
          </w:tcPr>
          <w:p>
            <w:pPr>
              <w:jc w:val="center"/>
            </w:pPr>
            <w:r>
              <w:rPr>
                <w:b/>
                <w:i w:val="0"/>
                <w:color w:val="7E2E35"/>
                <w:sz w:val="14"/>
              </w:rPr>
              <w:t>Legislatura</w:t>
            </w:r>
          </w:p>
        </w:tc>
      </w:tr>
      <w:tr>
        <w:trPr>
          <w:cantSplit/>
        </w:trPr>
        <w:tc>
          <w:tcPr>
            <w:tcW w:type="dxa" w:w="792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233B5F"/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19"/>
              </w:rPr>
              <w:t>39</w:t>
            </w:r>
          </w:p>
        </w:tc>
        <w:tc>
          <w:tcPr>
            <w:tcW w:type="dxa" w:w="7344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FFFFF"/>
          </w:tcPr>
          <w:p>
            <w:pPr>
              <w:spacing w:after="20"/>
            </w:pPr>
            <w:r>
              <w:rPr>
                <w:b/>
                <w:i w:val="0"/>
                <w:color w:val="233B5F"/>
                <w:sz w:val="17"/>
              </w:rPr>
              <w:t xml:space="preserve">Plan España ante emergencias climáticas. </w:t>
            </w:r>
            <w:r>
              <w:rPr>
                <w:b w:val="0"/>
                <w:i w:val="0"/>
                <w:color w:val="1F2933"/>
                <w:sz w:val="16"/>
              </w:rPr>
              <w:t>Refuerzo de AEMET, protección civil, unidades de respuesta rápida, limpieza de cauces, mapas de riesgo y seguros agrarios y urbanos.</w:t>
            </w:r>
          </w:p>
        </w:tc>
        <w:tc>
          <w:tcPr>
            <w:tcW w:type="dxa" w:w="1368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FFFFF"/>
          </w:tcPr>
          <w:p>
            <w:pPr>
              <w:jc w:val="center"/>
            </w:pPr>
            <w:r>
              <w:rPr>
                <w:b/>
                <w:i w:val="0"/>
                <w:color w:val="7E2E35"/>
                <w:sz w:val="14"/>
              </w:rPr>
              <w:t>Año 1</w:t>
            </w:r>
          </w:p>
        </w:tc>
      </w:tr>
      <w:tr>
        <w:trPr>
          <w:cantSplit/>
        </w:trPr>
        <w:tc>
          <w:tcPr>
            <w:tcW w:type="dxa" w:w="792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7E2E35"/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19"/>
              </w:rPr>
              <w:t>40</w:t>
            </w:r>
          </w:p>
        </w:tc>
        <w:tc>
          <w:tcPr>
            <w:tcW w:type="dxa" w:w="7344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BFBFD"/>
          </w:tcPr>
          <w:p>
            <w:pPr>
              <w:spacing w:after="20"/>
            </w:pPr>
            <w:r>
              <w:rPr>
                <w:b/>
                <w:i w:val="0"/>
                <w:color w:val="233B5F"/>
                <w:sz w:val="17"/>
              </w:rPr>
              <w:t xml:space="preserve">Pacto nacional contra la soledad y la fractura social. </w:t>
            </w:r>
            <w:r>
              <w:rPr>
                <w:b w:val="0"/>
                <w:i w:val="0"/>
                <w:color w:val="1F2933"/>
                <w:sz w:val="16"/>
              </w:rPr>
              <w:t>Red de mayores, familias, parroquias, asociaciones, ayuntamientos y voluntariado para detectar vulnerabilidad, aislamiento y abandono en barrios y pueblos.</w:t>
            </w:r>
          </w:p>
        </w:tc>
        <w:tc>
          <w:tcPr>
            <w:tcW w:type="dxa" w:w="1368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BFBFD"/>
          </w:tcPr>
          <w:p>
            <w:pPr>
              <w:jc w:val="center"/>
            </w:pPr>
            <w:r>
              <w:rPr>
                <w:b/>
                <w:i w:val="0"/>
                <w:color w:val="7E2E35"/>
                <w:sz w:val="14"/>
              </w:rPr>
              <w:t>Año 1</w:t>
            </w:r>
          </w:p>
        </w:tc>
      </w:tr>
    </w:tbl>
    <w:p>
      <w:r>
        <w:br w:type="page"/>
      </w:r>
    </w:p>
    <w:p>
      <w:pPr>
        <w:jc w:val="left"/>
      </w:pPr>
      <w:r>
        <w:rPr>
          <w:b/>
          <w:i w:val="0"/>
          <w:color w:val="CFA96E"/>
          <w:sz w:val="26"/>
        </w:rPr>
        <w:t>III</w:t>
      </w:r>
      <w:r>
        <w:rPr>
          <w:b w:val="0"/>
          <w:i w:val="0"/>
          <w:sz w:val="26"/>
        </w:rPr>
        <w:t xml:space="preserve">  </w:t>
      </w:r>
      <w:r>
        <w:rPr>
          <w:b/>
          <w:i w:val="0"/>
          <w:color w:val="233B5F"/>
          <w:sz w:val="36"/>
        </w:rPr>
        <w:t>Misión Europea</w:t>
      </w:r>
    </w:p>
    <w:p>
      <w:r>
        <w:rPr>
          <w:b w:val="0"/>
          <w:i/>
          <w:color w:val="5A6473"/>
          <w:sz w:val="21"/>
        </w:rPr>
        <w:t>De la burocracia a la civilización</w:t>
      </w:r>
    </w:p>
    <w:p>
      <w:pPr>
        <w:pBdr>
          <w:bottom w:val="single" w:sz="8" w:space="1" w:color="CFA96E"/>
        </w:pBdr>
      </w:pPr>
    </w:p>
    <w:p>
      <w:r>
        <w:rPr>
          <w:b w:val="0"/>
          <w:i w:val="0"/>
          <w:color w:val="1F2933"/>
          <w:sz w:val="18"/>
        </w:rPr>
        <w:t>Objetivo: que España actúe en Europa como potencia mediterránea, tecnológica, energética y cultural, defendiendo fronteras, soberanía y cooperación.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792"/>
        <w:gridCol w:w="7344"/>
        <w:gridCol w:w="1368"/>
      </w:tblGrid>
      <w:tr>
        <w:trPr>
          <w:cantSplit/>
        </w:trPr>
        <w:tc>
          <w:tcPr>
            <w:tcW w:type="dxa" w:w="792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233B5F"/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19"/>
              </w:rPr>
              <w:t>41</w:t>
            </w:r>
          </w:p>
        </w:tc>
        <w:tc>
          <w:tcPr>
            <w:tcW w:type="dxa" w:w="7344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FFFFF"/>
          </w:tcPr>
          <w:p>
            <w:pPr>
              <w:spacing w:after="20"/>
            </w:pPr>
            <w:r>
              <w:rPr>
                <w:b/>
                <w:i w:val="0"/>
                <w:color w:val="233B5F"/>
                <w:sz w:val="17"/>
              </w:rPr>
              <w:t xml:space="preserve">Doctrina española de Europa de naciones. </w:t>
            </w:r>
            <w:r>
              <w:rPr>
                <w:b w:val="0"/>
                <w:i w:val="0"/>
                <w:color w:val="1F2933"/>
                <w:sz w:val="16"/>
              </w:rPr>
              <w:t>Defensa de la cooperación europea en seguridad, mercado, tecnología y fronteras, con respeto al principio de subsidiariedad en cultura, familia y educación.</w:t>
            </w:r>
          </w:p>
        </w:tc>
        <w:tc>
          <w:tcPr>
            <w:tcW w:type="dxa" w:w="1368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FFFFF"/>
          </w:tcPr>
          <w:p>
            <w:pPr>
              <w:jc w:val="center"/>
            </w:pPr>
            <w:r>
              <w:rPr>
                <w:b/>
                <w:i w:val="0"/>
                <w:color w:val="233B5F"/>
                <w:sz w:val="14"/>
              </w:rPr>
              <w:t>100 días</w:t>
            </w:r>
          </w:p>
        </w:tc>
      </w:tr>
      <w:tr>
        <w:trPr>
          <w:cantSplit/>
        </w:trPr>
        <w:tc>
          <w:tcPr>
            <w:tcW w:type="dxa" w:w="792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7E2E35"/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19"/>
              </w:rPr>
              <w:t>42</w:t>
            </w:r>
          </w:p>
        </w:tc>
        <w:tc>
          <w:tcPr>
            <w:tcW w:type="dxa" w:w="7344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BFBFD"/>
          </w:tcPr>
          <w:p>
            <w:pPr>
              <w:spacing w:after="20"/>
            </w:pPr>
            <w:r>
              <w:rPr>
                <w:b/>
                <w:i w:val="0"/>
                <w:color w:val="233B5F"/>
                <w:sz w:val="17"/>
              </w:rPr>
              <w:t xml:space="preserve">Test de subsidiariedad europeo. </w:t>
            </w:r>
            <w:r>
              <w:rPr>
                <w:b w:val="0"/>
                <w:i w:val="0"/>
                <w:color w:val="1F2933"/>
                <w:sz w:val="16"/>
              </w:rPr>
              <w:t>Revisión sistemática de propuestas de la UE que invadan competencias nacionales o generen cargas regulatorias desproporcionadas para pymes y agricultores.</w:t>
            </w:r>
          </w:p>
        </w:tc>
        <w:tc>
          <w:tcPr>
            <w:tcW w:type="dxa" w:w="1368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BFBFD"/>
          </w:tcPr>
          <w:p>
            <w:pPr>
              <w:jc w:val="center"/>
            </w:pPr>
            <w:r>
              <w:rPr>
                <w:b/>
                <w:i w:val="0"/>
                <w:color w:val="7E2E35"/>
                <w:sz w:val="14"/>
              </w:rPr>
              <w:t>Año 1</w:t>
            </w:r>
          </w:p>
        </w:tc>
      </w:tr>
      <w:tr>
        <w:trPr>
          <w:cantSplit/>
        </w:trPr>
        <w:tc>
          <w:tcPr>
            <w:tcW w:type="dxa" w:w="792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233B5F"/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19"/>
              </w:rPr>
              <w:t>43</w:t>
            </w:r>
          </w:p>
        </w:tc>
        <w:tc>
          <w:tcPr>
            <w:tcW w:type="dxa" w:w="7344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FFFFF"/>
          </w:tcPr>
          <w:p>
            <w:pPr>
              <w:spacing w:after="20"/>
            </w:pPr>
            <w:r>
              <w:rPr>
                <w:b/>
                <w:i w:val="0"/>
                <w:color w:val="233B5F"/>
                <w:sz w:val="17"/>
              </w:rPr>
              <w:t xml:space="preserve">Agenda española para el Mediterráneo. </w:t>
            </w:r>
            <w:r>
              <w:rPr>
                <w:b w:val="0"/>
                <w:i w:val="0"/>
                <w:color w:val="1F2933"/>
                <w:sz w:val="16"/>
              </w:rPr>
              <w:t>Prioridad diplomática y presupuestaria al flanco sur: seguridad marítima, energía, migración ordenada, desarrollo, terrorismo, pesca y cadenas logísticas.</w:t>
            </w:r>
          </w:p>
        </w:tc>
        <w:tc>
          <w:tcPr>
            <w:tcW w:type="dxa" w:w="1368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FFFFF"/>
          </w:tcPr>
          <w:p>
            <w:pPr>
              <w:jc w:val="center"/>
            </w:pPr>
            <w:r>
              <w:rPr>
                <w:b/>
                <w:i w:val="0"/>
                <w:color w:val="233B5F"/>
                <w:sz w:val="14"/>
              </w:rPr>
              <w:t>100 días</w:t>
            </w:r>
          </w:p>
        </w:tc>
      </w:tr>
      <w:tr>
        <w:trPr>
          <w:cantSplit/>
        </w:trPr>
        <w:tc>
          <w:tcPr>
            <w:tcW w:type="dxa" w:w="792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7E2E35"/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19"/>
              </w:rPr>
              <w:t>44</w:t>
            </w:r>
          </w:p>
        </w:tc>
        <w:tc>
          <w:tcPr>
            <w:tcW w:type="dxa" w:w="7344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BFBFD"/>
          </w:tcPr>
          <w:p>
            <w:pPr>
              <w:spacing w:after="20"/>
            </w:pPr>
            <w:r>
              <w:rPr>
                <w:b/>
                <w:i w:val="0"/>
                <w:color w:val="233B5F"/>
                <w:sz w:val="17"/>
              </w:rPr>
              <w:t xml:space="preserve">Fuerza europea de intervención rápida. </w:t>
            </w:r>
            <w:r>
              <w:rPr>
                <w:b w:val="0"/>
                <w:i w:val="0"/>
                <w:color w:val="1F2933"/>
                <w:sz w:val="16"/>
              </w:rPr>
              <w:t>Impulso de una capacidad operativa europea complementaria a la OTAN, con participación española proporcional y enfoque en Mediterráneo, Sahel y protección civil.</w:t>
            </w:r>
          </w:p>
        </w:tc>
        <w:tc>
          <w:tcPr>
            <w:tcW w:type="dxa" w:w="1368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BFBFD"/>
          </w:tcPr>
          <w:p>
            <w:pPr>
              <w:jc w:val="center"/>
            </w:pPr>
            <w:r>
              <w:rPr>
                <w:b/>
                <w:i w:val="0"/>
                <w:color w:val="7E2E35"/>
                <w:sz w:val="14"/>
              </w:rPr>
              <w:t>Legislatura</w:t>
            </w:r>
          </w:p>
        </w:tc>
      </w:tr>
      <w:tr>
        <w:trPr>
          <w:cantSplit/>
        </w:trPr>
        <w:tc>
          <w:tcPr>
            <w:tcW w:type="dxa" w:w="792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233B5F"/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19"/>
              </w:rPr>
              <w:t>45</w:t>
            </w:r>
          </w:p>
        </w:tc>
        <w:tc>
          <w:tcPr>
            <w:tcW w:type="dxa" w:w="7344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FFFFF"/>
          </w:tcPr>
          <w:p>
            <w:pPr>
              <w:spacing w:after="20"/>
            </w:pPr>
            <w:r>
              <w:rPr>
                <w:b/>
                <w:i w:val="0"/>
                <w:color w:val="233B5F"/>
                <w:sz w:val="17"/>
              </w:rPr>
              <w:t xml:space="preserve">Industria española de defensa y doble uso. </w:t>
            </w:r>
            <w:r>
              <w:rPr>
                <w:b w:val="0"/>
                <w:i w:val="0"/>
                <w:color w:val="1F2933"/>
                <w:sz w:val="16"/>
              </w:rPr>
              <w:t>Compra pública innovadora, consorcios con universidades y pymes, munición, drones, ciberdefensa, satélites y mantenimiento industrial en suelo nacional.</w:t>
            </w:r>
          </w:p>
        </w:tc>
        <w:tc>
          <w:tcPr>
            <w:tcW w:type="dxa" w:w="1368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FFFFF"/>
          </w:tcPr>
          <w:p>
            <w:pPr>
              <w:jc w:val="center"/>
            </w:pPr>
            <w:r>
              <w:rPr>
                <w:b/>
                <w:i w:val="0"/>
                <w:color w:val="7E2E35"/>
                <w:sz w:val="14"/>
              </w:rPr>
              <w:t>Legislatura</w:t>
            </w:r>
          </w:p>
        </w:tc>
      </w:tr>
      <w:tr>
        <w:trPr>
          <w:cantSplit/>
        </w:trPr>
        <w:tc>
          <w:tcPr>
            <w:tcW w:type="dxa" w:w="792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7E2E35"/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19"/>
              </w:rPr>
              <w:t>46</w:t>
            </w:r>
          </w:p>
        </w:tc>
        <w:tc>
          <w:tcPr>
            <w:tcW w:type="dxa" w:w="7344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BFBFD"/>
          </w:tcPr>
          <w:p>
            <w:pPr>
              <w:spacing w:after="20"/>
            </w:pPr>
            <w:r>
              <w:rPr>
                <w:b/>
                <w:i w:val="0"/>
                <w:color w:val="233B5F"/>
                <w:sz w:val="17"/>
              </w:rPr>
              <w:t xml:space="preserve">Servicio nacional de reservas estratégicas. </w:t>
            </w:r>
            <w:r>
              <w:rPr>
                <w:b w:val="0"/>
                <w:i w:val="0"/>
                <w:color w:val="1F2933"/>
                <w:sz w:val="16"/>
              </w:rPr>
              <w:t>Inventario y almacenamiento de medicamentos, combustibles críticos, alimentos esenciales, componentes electrónicos y material sanitario ante crisis internacionales.</w:t>
            </w:r>
          </w:p>
        </w:tc>
        <w:tc>
          <w:tcPr>
            <w:tcW w:type="dxa" w:w="1368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BFBFD"/>
          </w:tcPr>
          <w:p>
            <w:pPr>
              <w:jc w:val="center"/>
            </w:pPr>
            <w:r>
              <w:rPr>
                <w:b/>
                <w:i w:val="0"/>
                <w:color w:val="7E2E35"/>
                <w:sz w:val="14"/>
              </w:rPr>
              <w:t>Año 1</w:t>
            </w:r>
          </w:p>
        </w:tc>
      </w:tr>
      <w:tr>
        <w:trPr>
          <w:cantSplit/>
        </w:trPr>
        <w:tc>
          <w:tcPr>
            <w:tcW w:type="dxa" w:w="792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233B5F"/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19"/>
              </w:rPr>
              <w:t>47</w:t>
            </w:r>
          </w:p>
        </w:tc>
        <w:tc>
          <w:tcPr>
            <w:tcW w:type="dxa" w:w="7344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FFFFF"/>
          </w:tcPr>
          <w:p>
            <w:pPr>
              <w:spacing w:after="20"/>
            </w:pPr>
            <w:r>
              <w:rPr>
                <w:b/>
                <w:i w:val="0"/>
                <w:color w:val="233B5F"/>
                <w:sz w:val="17"/>
              </w:rPr>
              <w:t xml:space="preserve">Frontera Europa tecnológica. </w:t>
            </w:r>
            <w:r>
              <w:rPr>
                <w:b w:val="0"/>
                <w:i w:val="0"/>
                <w:color w:val="1F2933"/>
                <w:sz w:val="16"/>
              </w:rPr>
              <w:t>Refuerzo de SIVE, sensores costeros, vigilancia marítima, drones, análisis de datos y cooperación con Frontex, garantizando trazabilidad y derechos fundamentales.</w:t>
            </w:r>
          </w:p>
        </w:tc>
        <w:tc>
          <w:tcPr>
            <w:tcW w:type="dxa" w:w="1368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FFFFF"/>
          </w:tcPr>
          <w:p>
            <w:pPr>
              <w:jc w:val="center"/>
            </w:pPr>
            <w:r>
              <w:rPr>
                <w:b/>
                <w:i w:val="0"/>
                <w:color w:val="7E2E35"/>
                <w:sz w:val="14"/>
              </w:rPr>
              <w:t>Año 1</w:t>
            </w:r>
          </w:p>
        </w:tc>
      </w:tr>
      <w:tr>
        <w:trPr>
          <w:cantSplit/>
        </w:trPr>
        <w:tc>
          <w:tcPr>
            <w:tcW w:type="dxa" w:w="792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7E2E35"/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19"/>
              </w:rPr>
              <w:t>48</w:t>
            </w:r>
          </w:p>
        </w:tc>
        <w:tc>
          <w:tcPr>
            <w:tcW w:type="dxa" w:w="7344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BFBFD"/>
          </w:tcPr>
          <w:p>
            <w:pPr>
              <w:spacing w:after="20"/>
            </w:pPr>
            <w:r>
              <w:rPr>
                <w:b/>
                <w:i w:val="0"/>
                <w:color w:val="233B5F"/>
                <w:sz w:val="17"/>
              </w:rPr>
              <w:t xml:space="preserve">Aplicación rigurosa del Pacto Europeo de Migración y Asilo. </w:t>
            </w:r>
            <w:r>
              <w:rPr>
                <w:b w:val="0"/>
                <w:i w:val="0"/>
                <w:color w:val="1F2933"/>
                <w:sz w:val="16"/>
              </w:rPr>
              <w:t>Procedimientos rápidos, identificación segura, asistencia jurídica, diferenciación entre protección internacional y migración laboral, y retorno efectivo cuando no exista derecho de estancia.</w:t>
            </w:r>
          </w:p>
        </w:tc>
        <w:tc>
          <w:tcPr>
            <w:tcW w:type="dxa" w:w="1368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BFBFD"/>
          </w:tcPr>
          <w:p>
            <w:pPr>
              <w:jc w:val="center"/>
            </w:pPr>
            <w:r>
              <w:rPr>
                <w:b/>
                <w:i w:val="0"/>
                <w:color w:val="7E2E35"/>
                <w:sz w:val="14"/>
              </w:rPr>
              <w:t>Año 1</w:t>
            </w:r>
          </w:p>
        </w:tc>
      </w:tr>
      <w:tr>
        <w:trPr>
          <w:cantSplit/>
        </w:trPr>
        <w:tc>
          <w:tcPr>
            <w:tcW w:type="dxa" w:w="792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233B5F"/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19"/>
              </w:rPr>
              <w:t>49</w:t>
            </w:r>
          </w:p>
        </w:tc>
        <w:tc>
          <w:tcPr>
            <w:tcW w:type="dxa" w:w="7344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FFFFF"/>
          </w:tcPr>
          <w:p>
            <w:pPr>
              <w:spacing w:after="20"/>
            </w:pPr>
            <w:r>
              <w:rPr>
                <w:b/>
                <w:i w:val="0"/>
                <w:color w:val="233B5F"/>
                <w:sz w:val="17"/>
              </w:rPr>
              <w:t xml:space="preserve">Acuerdos de retorno y readmisión efectivos. </w:t>
            </w:r>
            <w:r>
              <w:rPr>
                <w:b w:val="0"/>
                <w:i w:val="0"/>
                <w:color w:val="1F2933"/>
                <w:sz w:val="16"/>
              </w:rPr>
              <w:t>Condicionar cooperación, visados y ayuda técnica a la colaboración real de países de origen y tránsito en identificación, readmisión y lucha contra mafias.</w:t>
            </w:r>
          </w:p>
        </w:tc>
        <w:tc>
          <w:tcPr>
            <w:tcW w:type="dxa" w:w="1368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FFFFF"/>
          </w:tcPr>
          <w:p>
            <w:pPr>
              <w:jc w:val="center"/>
            </w:pPr>
            <w:r>
              <w:rPr>
                <w:b/>
                <w:i w:val="0"/>
                <w:color w:val="7E2E35"/>
                <w:sz w:val="14"/>
              </w:rPr>
              <w:t>Legislatura</w:t>
            </w:r>
          </w:p>
        </w:tc>
      </w:tr>
      <w:tr>
        <w:trPr>
          <w:cantSplit/>
        </w:trPr>
        <w:tc>
          <w:tcPr>
            <w:tcW w:type="dxa" w:w="792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7E2E35"/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19"/>
              </w:rPr>
              <w:t>50</w:t>
            </w:r>
          </w:p>
        </w:tc>
        <w:tc>
          <w:tcPr>
            <w:tcW w:type="dxa" w:w="7344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BFBFD"/>
          </w:tcPr>
          <w:p>
            <w:pPr>
              <w:spacing w:after="20"/>
            </w:pPr>
            <w:r>
              <w:rPr>
                <w:b/>
                <w:i w:val="0"/>
                <w:color w:val="233B5F"/>
                <w:sz w:val="17"/>
              </w:rPr>
              <w:t xml:space="preserve">Migración legal vinculada a empleo y formación. </w:t>
            </w:r>
            <w:r>
              <w:rPr>
                <w:b w:val="0"/>
                <w:i w:val="0"/>
                <w:color w:val="1F2933"/>
                <w:sz w:val="16"/>
              </w:rPr>
              <w:t>Canales ordenados para sectores con vacantes acreditadas, contrato verificable, aprendizaje lingüístico, homologación de competencias y compromiso de integración cívica.</w:t>
            </w:r>
          </w:p>
        </w:tc>
        <w:tc>
          <w:tcPr>
            <w:tcW w:type="dxa" w:w="1368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BFBFD"/>
          </w:tcPr>
          <w:p>
            <w:pPr>
              <w:jc w:val="center"/>
            </w:pPr>
            <w:r>
              <w:rPr>
                <w:b/>
                <w:i w:val="0"/>
                <w:color w:val="7E2E35"/>
                <w:sz w:val="14"/>
              </w:rPr>
              <w:t>Año 1</w:t>
            </w:r>
          </w:p>
        </w:tc>
      </w:tr>
      <w:tr>
        <w:trPr>
          <w:cantSplit/>
        </w:trPr>
        <w:tc>
          <w:tcPr>
            <w:tcW w:type="dxa" w:w="792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233B5F"/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19"/>
              </w:rPr>
              <w:t>51</w:t>
            </w:r>
          </w:p>
        </w:tc>
        <w:tc>
          <w:tcPr>
            <w:tcW w:type="dxa" w:w="7344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FFFFF"/>
          </w:tcPr>
          <w:p>
            <w:pPr>
              <w:spacing w:after="20"/>
            </w:pPr>
            <w:r>
              <w:rPr>
                <w:b/>
                <w:i w:val="0"/>
                <w:color w:val="233B5F"/>
                <w:sz w:val="17"/>
              </w:rPr>
              <w:t xml:space="preserve">Oficina contra mafias de trata y tráfico migratorio. </w:t>
            </w:r>
            <w:r>
              <w:rPr>
                <w:b w:val="0"/>
                <w:i w:val="0"/>
                <w:color w:val="1F2933"/>
                <w:sz w:val="16"/>
              </w:rPr>
              <w:t>Unidad conjunta de Policía, Guardia Civil, Fiscalía, Europol y autoridades portuarias para atacar redes financieras, publicidad fraudulenta y rutas marítimas.</w:t>
            </w:r>
          </w:p>
        </w:tc>
        <w:tc>
          <w:tcPr>
            <w:tcW w:type="dxa" w:w="1368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FFFFF"/>
          </w:tcPr>
          <w:p>
            <w:pPr>
              <w:jc w:val="center"/>
            </w:pPr>
            <w:r>
              <w:rPr>
                <w:b/>
                <w:i w:val="0"/>
                <w:color w:val="7E2E35"/>
                <w:sz w:val="14"/>
              </w:rPr>
              <w:t>Año 1</w:t>
            </w:r>
          </w:p>
        </w:tc>
      </w:tr>
      <w:tr>
        <w:trPr>
          <w:cantSplit/>
        </w:trPr>
        <w:tc>
          <w:tcPr>
            <w:tcW w:type="dxa" w:w="792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7E2E35"/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19"/>
              </w:rPr>
              <w:t>52</w:t>
            </w:r>
          </w:p>
        </w:tc>
        <w:tc>
          <w:tcPr>
            <w:tcW w:type="dxa" w:w="7344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BFBFD"/>
          </w:tcPr>
          <w:p>
            <w:pPr>
              <w:spacing w:after="20"/>
            </w:pPr>
            <w:r>
              <w:rPr>
                <w:b/>
                <w:i w:val="0"/>
                <w:color w:val="233B5F"/>
                <w:sz w:val="17"/>
              </w:rPr>
              <w:t xml:space="preserve">Cooperación con África occidental y Magreb. </w:t>
            </w:r>
            <w:r>
              <w:rPr>
                <w:b w:val="0"/>
                <w:i w:val="0"/>
                <w:color w:val="1F2933"/>
                <w:sz w:val="16"/>
              </w:rPr>
              <w:t>Programas de formación, pesca, agricultura, seguridad fronteriza y retorno voluntario que reduzcan incentivos de migración irregular y fortalezcan comunidades de origen.</w:t>
            </w:r>
          </w:p>
        </w:tc>
        <w:tc>
          <w:tcPr>
            <w:tcW w:type="dxa" w:w="1368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BFBFD"/>
          </w:tcPr>
          <w:p>
            <w:pPr>
              <w:jc w:val="center"/>
            </w:pPr>
            <w:r>
              <w:rPr>
                <w:b/>
                <w:i w:val="0"/>
                <w:color w:val="7E2E35"/>
                <w:sz w:val="14"/>
              </w:rPr>
              <w:t>Legislatura</w:t>
            </w:r>
          </w:p>
        </w:tc>
      </w:tr>
      <w:tr>
        <w:trPr>
          <w:cantSplit/>
        </w:trPr>
        <w:tc>
          <w:tcPr>
            <w:tcW w:type="dxa" w:w="792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233B5F"/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19"/>
              </w:rPr>
              <w:t>53</w:t>
            </w:r>
          </w:p>
        </w:tc>
        <w:tc>
          <w:tcPr>
            <w:tcW w:type="dxa" w:w="7344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FFFFF"/>
          </w:tcPr>
          <w:p>
            <w:pPr>
              <w:spacing w:after="20"/>
            </w:pPr>
            <w:r>
              <w:rPr>
                <w:b/>
                <w:i w:val="0"/>
                <w:color w:val="233B5F"/>
                <w:sz w:val="17"/>
              </w:rPr>
              <w:t xml:space="preserve">Soberanía digital europea con liderazgo español. </w:t>
            </w:r>
            <w:r>
              <w:rPr>
                <w:b w:val="0"/>
                <w:i w:val="0"/>
                <w:color w:val="1F2933"/>
                <w:sz w:val="16"/>
              </w:rPr>
              <w:t>Nube pública soberana para datos críticos, estándares abiertos, compras tecnológicas europeas y protección frente a dependencia de proveedores no confiables.</w:t>
            </w:r>
          </w:p>
        </w:tc>
        <w:tc>
          <w:tcPr>
            <w:tcW w:type="dxa" w:w="1368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FFFFF"/>
          </w:tcPr>
          <w:p>
            <w:pPr>
              <w:jc w:val="center"/>
            </w:pPr>
            <w:r>
              <w:rPr>
                <w:b/>
                <w:i w:val="0"/>
                <w:color w:val="7E2E35"/>
                <w:sz w:val="14"/>
              </w:rPr>
              <w:t>Legislatura</w:t>
            </w:r>
          </w:p>
        </w:tc>
      </w:tr>
      <w:tr>
        <w:trPr>
          <w:cantSplit/>
        </w:trPr>
        <w:tc>
          <w:tcPr>
            <w:tcW w:type="dxa" w:w="792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7E2E35"/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19"/>
              </w:rPr>
              <w:t>54</w:t>
            </w:r>
          </w:p>
        </w:tc>
        <w:tc>
          <w:tcPr>
            <w:tcW w:type="dxa" w:w="7344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BFBFD"/>
          </w:tcPr>
          <w:p>
            <w:pPr>
              <w:spacing w:after="20"/>
            </w:pPr>
            <w:r>
              <w:rPr>
                <w:b/>
                <w:i w:val="0"/>
                <w:color w:val="233B5F"/>
                <w:sz w:val="17"/>
              </w:rPr>
              <w:t xml:space="preserve">Alianza de chips, farmacia y materiales críticos. </w:t>
            </w:r>
            <w:r>
              <w:rPr>
                <w:b w:val="0"/>
                <w:i w:val="0"/>
                <w:color w:val="1F2933"/>
                <w:sz w:val="16"/>
              </w:rPr>
              <w:t>Participación española en proyectos europeos de semiconductores, principios activos farmacéuticos, tierras raras, baterías y reciclaje industrial.</w:t>
            </w:r>
          </w:p>
        </w:tc>
        <w:tc>
          <w:tcPr>
            <w:tcW w:type="dxa" w:w="1368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BFBFD"/>
          </w:tcPr>
          <w:p>
            <w:pPr>
              <w:jc w:val="center"/>
            </w:pPr>
            <w:r>
              <w:rPr>
                <w:b/>
                <w:i w:val="0"/>
                <w:color w:val="7E2E35"/>
                <w:sz w:val="14"/>
              </w:rPr>
              <w:t>Legislatura</w:t>
            </w:r>
          </w:p>
        </w:tc>
      </w:tr>
      <w:tr>
        <w:trPr>
          <w:cantSplit/>
        </w:trPr>
        <w:tc>
          <w:tcPr>
            <w:tcW w:type="dxa" w:w="792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233B5F"/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19"/>
              </w:rPr>
              <w:t>55</w:t>
            </w:r>
          </w:p>
        </w:tc>
        <w:tc>
          <w:tcPr>
            <w:tcW w:type="dxa" w:w="7344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FFFFF"/>
          </w:tcPr>
          <w:p>
            <w:pPr>
              <w:spacing w:after="20"/>
            </w:pPr>
            <w:r>
              <w:rPr>
                <w:b/>
                <w:i w:val="0"/>
                <w:color w:val="233B5F"/>
                <w:sz w:val="17"/>
              </w:rPr>
              <w:t xml:space="preserve">Interconexiones energéticas europeas. </w:t>
            </w:r>
            <w:r>
              <w:rPr>
                <w:b w:val="0"/>
                <w:i w:val="0"/>
                <w:color w:val="1F2933"/>
                <w:sz w:val="16"/>
              </w:rPr>
              <w:t>Acelerar interconexiones eléctricas y gasistas/hidrógeno con Francia y Portugal para convertir España en plataforma energética segura del sur de Europa.</w:t>
            </w:r>
          </w:p>
        </w:tc>
        <w:tc>
          <w:tcPr>
            <w:tcW w:type="dxa" w:w="1368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FFFFF"/>
          </w:tcPr>
          <w:p>
            <w:pPr>
              <w:jc w:val="center"/>
            </w:pPr>
            <w:r>
              <w:rPr>
                <w:b/>
                <w:i w:val="0"/>
                <w:color w:val="7E2E35"/>
                <w:sz w:val="14"/>
              </w:rPr>
              <w:t>Legislatura</w:t>
            </w:r>
          </w:p>
        </w:tc>
      </w:tr>
      <w:tr>
        <w:trPr>
          <w:cantSplit/>
        </w:trPr>
        <w:tc>
          <w:tcPr>
            <w:tcW w:type="dxa" w:w="792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7E2E35"/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19"/>
              </w:rPr>
              <w:t>56</w:t>
            </w:r>
          </w:p>
        </w:tc>
        <w:tc>
          <w:tcPr>
            <w:tcW w:type="dxa" w:w="7344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BFBFD"/>
          </w:tcPr>
          <w:p>
            <w:pPr>
              <w:spacing w:after="20"/>
            </w:pPr>
            <w:r>
              <w:rPr>
                <w:b/>
                <w:i w:val="0"/>
                <w:color w:val="233B5F"/>
                <w:sz w:val="17"/>
              </w:rPr>
              <w:t xml:space="preserve">Cláusulas espejo para el sector primario. </w:t>
            </w:r>
            <w:r>
              <w:rPr>
                <w:b w:val="0"/>
                <w:i w:val="0"/>
                <w:color w:val="1F2933"/>
                <w:sz w:val="16"/>
              </w:rPr>
              <w:t>Exigir en la UE reciprocidad fitosanitaria, laboral y ambiental a productos importados, con controles en frontera y etiquetado claro de origen.</w:t>
            </w:r>
          </w:p>
        </w:tc>
        <w:tc>
          <w:tcPr>
            <w:tcW w:type="dxa" w:w="1368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BFBFD"/>
          </w:tcPr>
          <w:p>
            <w:pPr>
              <w:jc w:val="center"/>
            </w:pPr>
            <w:r>
              <w:rPr>
                <w:b/>
                <w:i w:val="0"/>
                <w:color w:val="7E2E35"/>
                <w:sz w:val="14"/>
              </w:rPr>
              <w:t>Año 1</w:t>
            </w:r>
          </w:p>
        </w:tc>
      </w:tr>
      <w:tr>
        <w:trPr>
          <w:cantSplit/>
        </w:trPr>
        <w:tc>
          <w:tcPr>
            <w:tcW w:type="dxa" w:w="792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233B5F"/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19"/>
              </w:rPr>
              <w:t>57</w:t>
            </w:r>
          </w:p>
        </w:tc>
        <w:tc>
          <w:tcPr>
            <w:tcW w:type="dxa" w:w="7344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FFFFF"/>
          </w:tcPr>
          <w:p>
            <w:pPr>
              <w:spacing w:after="20"/>
            </w:pPr>
            <w:r>
              <w:rPr>
                <w:b/>
                <w:i w:val="0"/>
                <w:color w:val="233B5F"/>
                <w:sz w:val="17"/>
              </w:rPr>
              <w:t xml:space="preserve">Diplomacia económica para pymes. </w:t>
            </w:r>
            <w:r>
              <w:rPr>
                <w:b w:val="0"/>
                <w:i w:val="0"/>
                <w:color w:val="1F2933"/>
                <w:sz w:val="16"/>
              </w:rPr>
              <w:t>Red de oficinas comerciales orientadas a exportación de empresas medianas, agroindustria, tecnología, defensa civil y servicios profesionales.</w:t>
            </w:r>
          </w:p>
        </w:tc>
        <w:tc>
          <w:tcPr>
            <w:tcW w:type="dxa" w:w="1368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FFFFF"/>
          </w:tcPr>
          <w:p>
            <w:pPr>
              <w:jc w:val="center"/>
            </w:pPr>
            <w:r>
              <w:rPr>
                <w:b/>
                <w:i w:val="0"/>
                <w:color w:val="7E2E35"/>
                <w:sz w:val="14"/>
              </w:rPr>
              <w:t>Año 1</w:t>
            </w:r>
          </w:p>
        </w:tc>
      </w:tr>
      <w:tr>
        <w:trPr>
          <w:cantSplit/>
        </w:trPr>
        <w:tc>
          <w:tcPr>
            <w:tcW w:type="dxa" w:w="792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7E2E35"/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19"/>
              </w:rPr>
              <w:t>58</w:t>
            </w:r>
          </w:p>
        </w:tc>
        <w:tc>
          <w:tcPr>
            <w:tcW w:type="dxa" w:w="7344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BFBFD"/>
          </w:tcPr>
          <w:p>
            <w:pPr>
              <w:spacing w:after="20"/>
            </w:pPr>
            <w:r>
              <w:rPr>
                <w:b/>
                <w:i w:val="0"/>
                <w:color w:val="233B5F"/>
                <w:sz w:val="17"/>
              </w:rPr>
              <w:t xml:space="preserve">Programa Erasmus Iberosfera-Europa. </w:t>
            </w:r>
            <w:r>
              <w:rPr>
                <w:b w:val="0"/>
                <w:i w:val="0"/>
                <w:color w:val="1F2933"/>
                <w:sz w:val="16"/>
              </w:rPr>
              <w:t>Movilidad de estudiantes, investigadores y jóvenes profesionales entre España, UE e Iberoamérica en tecnologías estratégicas, educación y cultura.</w:t>
            </w:r>
          </w:p>
        </w:tc>
        <w:tc>
          <w:tcPr>
            <w:tcW w:type="dxa" w:w="1368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BFBFD"/>
          </w:tcPr>
          <w:p>
            <w:pPr>
              <w:jc w:val="center"/>
            </w:pPr>
            <w:r>
              <w:rPr>
                <w:b/>
                <w:i w:val="0"/>
                <w:color w:val="7E2E35"/>
                <w:sz w:val="14"/>
              </w:rPr>
              <w:t>Legislatura</w:t>
            </w:r>
          </w:p>
        </w:tc>
      </w:tr>
      <w:tr>
        <w:trPr>
          <w:cantSplit/>
        </w:trPr>
        <w:tc>
          <w:tcPr>
            <w:tcW w:type="dxa" w:w="792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233B5F"/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19"/>
              </w:rPr>
              <w:t>59</w:t>
            </w:r>
          </w:p>
        </w:tc>
        <w:tc>
          <w:tcPr>
            <w:tcW w:type="dxa" w:w="7344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FFFFF"/>
          </w:tcPr>
          <w:p>
            <w:pPr>
              <w:spacing w:after="20"/>
            </w:pPr>
            <w:r>
              <w:rPr>
                <w:b/>
                <w:i w:val="0"/>
                <w:color w:val="233B5F"/>
                <w:sz w:val="17"/>
              </w:rPr>
              <w:t xml:space="preserve">Defensa del patrimonio europeo común. </w:t>
            </w:r>
            <w:r>
              <w:rPr>
                <w:b w:val="0"/>
                <w:i w:val="0"/>
                <w:color w:val="1F2933"/>
                <w:sz w:val="16"/>
              </w:rPr>
              <w:t>Iniciativa cultural europea para proteger monumentos, libertad religiosa, archivos, lenguas clásicas, rutas históricas y memoria compartida frente al vandalismo y el abandono.</w:t>
            </w:r>
          </w:p>
        </w:tc>
        <w:tc>
          <w:tcPr>
            <w:tcW w:type="dxa" w:w="1368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FFFFF"/>
          </w:tcPr>
          <w:p>
            <w:pPr>
              <w:jc w:val="center"/>
            </w:pPr>
            <w:r>
              <w:rPr>
                <w:b/>
                <w:i w:val="0"/>
                <w:color w:val="7E2E35"/>
                <w:sz w:val="14"/>
              </w:rPr>
              <w:t>Legislatura</w:t>
            </w:r>
          </w:p>
        </w:tc>
      </w:tr>
      <w:tr>
        <w:trPr>
          <w:cantSplit/>
        </w:trPr>
        <w:tc>
          <w:tcPr>
            <w:tcW w:type="dxa" w:w="792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7E2E35"/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19"/>
              </w:rPr>
              <w:t>60</w:t>
            </w:r>
          </w:p>
        </w:tc>
        <w:tc>
          <w:tcPr>
            <w:tcW w:type="dxa" w:w="7344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BFBFD"/>
          </w:tcPr>
          <w:p>
            <w:pPr>
              <w:spacing w:after="20"/>
            </w:pPr>
            <w:r>
              <w:rPr>
                <w:b/>
                <w:i w:val="0"/>
                <w:color w:val="233B5F"/>
                <w:sz w:val="17"/>
              </w:rPr>
              <w:t xml:space="preserve">Consejo de Seguridad Económica Europea. </w:t>
            </w:r>
            <w:r>
              <w:rPr>
                <w:b w:val="0"/>
                <w:i w:val="0"/>
                <w:color w:val="1F2933"/>
                <w:sz w:val="16"/>
              </w:rPr>
              <w:t>Propuesta española para evaluar riesgos de dependencia, inversión extranjera sensible, sabotaje, desinformación y coerción económica contra Estados miembros.</w:t>
            </w:r>
          </w:p>
        </w:tc>
        <w:tc>
          <w:tcPr>
            <w:tcW w:type="dxa" w:w="1368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BFBFD"/>
          </w:tcPr>
          <w:p>
            <w:pPr>
              <w:jc w:val="center"/>
            </w:pPr>
            <w:r>
              <w:rPr>
                <w:b/>
                <w:i w:val="0"/>
                <w:color w:val="7E2E35"/>
                <w:sz w:val="14"/>
              </w:rPr>
              <w:t>Legislatura</w:t>
            </w:r>
          </w:p>
        </w:tc>
      </w:tr>
    </w:tbl>
    <w:p>
      <w:r>
        <w:br w:type="page"/>
      </w:r>
    </w:p>
    <w:p>
      <w:pPr>
        <w:jc w:val="left"/>
      </w:pPr>
      <w:r>
        <w:rPr>
          <w:b/>
          <w:i w:val="0"/>
          <w:color w:val="CFA96E"/>
          <w:sz w:val="26"/>
        </w:rPr>
        <w:t>IV</w:t>
      </w:r>
      <w:r>
        <w:rPr>
          <w:b w:val="0"/>
          <w:i w:val="0"/>
          <w:sz w:val="26"/>
        </w:rPr>
        <w:t xml:space="preserve">  </w:t>
      </w:r>
      <w:r>
        <w:rPr>
          <w:b/>
          <w:i w:val="0"/>
          <w:color w:val="7E2E35"/>
          <w:sz w:val="36"/>
        </w:rPr>
        <w:t>Educación Templada</w:t>
      </w:r>
    </w:p>
    <w:p>
      <w:r>
        <w:rPr>
          <w:b w:val="0"/>
          <w:i/>
          <w:color w:val="5A6473"/>
          <w:sz w:val="21"/>
        </w:rPr>
        <w:t>Excelencia y Mérito</w:t>
      </w:r>
    </w:p>
    <w:p>
      <w:pPr>
        <w:pBdr>
          <w:bottom w:val="single" w:sz="8" w:space="1" w:color="CFA96E"/>
        </w:pBdr>
      </w:pPr>
    </w:p>
    <w:p>
      <w:r>
        <w:rPr>
          <w:b w:val="0"/>
          <w:i w:val="0"/>
          <w:color w:val="1F2933"/>
          <w:sz w:val="18"/>
        </w:rPr>
        <w:t>Objetivo: formar ciudadanos libres, exigentes y capaces, recuperando conocimiento, autoridad docente y mérito sin abandonar a quien necesita apoyo.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792"/>
        <w:gridCol w:w="7344"/>
        <w:gridCol w:w="1368"/>
      </w:tblGrid>
      <w:tr>
        <w:trPr>
          <w:cantSplit/>
        </w:trPr>
        <w:tc>
          <w:tcPr>
            <w:tcW w:type="dxa" w:w="792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233B5F"/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19"/>
              </w:rPr>
              <w:t>61</w:t>
            </w:r>
          </w:p>
        </w:tc>
        <w:tc>
          <w:tcPr>
            <w:tcW w:type="dxa" w:w="7344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FFFFF"/>
          </w:tcPr>
          <w:p>
            <w:pPr>
              <w:spacing w:after="20"/>
            </w:pPr>
            <w:r>
              <w:rPr>
                <w:b/>
                <w:i w:val="0"/>
                <w:color w:val="233B5F"/>
                <w:sz w:val="17"/>
              </w:rPr>
              <w:t xml:space="preserve">Currículo nacional de conocimientos esenciales. </w:t>
            </w:r>
            <w:r>
              <w:rPr>
                <w:b w:val="0"/>
                <w:i w:val="0"/>
                <w:color w:val="1F2933"/>
                <w:sz w:val="16"/>
              </w:rPr>
              <w:t>Base común exigente en lectura, escritura, matemáticas, ciencias, historia, filosofía, Constitución, cultura clásica y competencia digital.</w:t>
            </w:r>
          </w:p>
        </w:tc>
        <w:tc>
          <w:tcPr>
            <w:tcW w:type="dxa" w:w="1368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FFFFF"/>
          </w:tcPr>
          <w:p>
            <w:pPr>
              <w:jc w:val="center"/>
            </w:pPr>
            <w:r>
              <w:rPr>
                <w:b/>
                <w:i w:val="0"/>
                <w:color w:val="7E2E35"/>
                <w:sz w:val="14"/>
              </w:rPr>
              <w:t>Año 1</w:t>
            </w:r>
          </w:p>
        </w:tc>
      </w:tr>
      <w:tr>
        <w:trPr>
          <w:cantSplit/>
        </w:trPr>
        <w:tc>
          <w:tcPr>
            <w:tcW w:type="dxa" w:w="792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7E2E35"/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19"/>
              </w:rPr>
              <w:t>62</w:t>
            </w:r>
          </w:p>
        </w:tc>
        <w:tc>
          <w:tcPr>
            <w:tcW w:type="dxa" w:w="7344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BFBFD"/>
          </w:tcPr>
          <w:p>
            <w:pPr>
              <w:spacing w:after="20"/>
            </w:pPr>
            <w:r>
              <w:rPr>
                <w:b/>
                <w:i w:val="0"/>
                <w:color w:val="233B5F"/>
                <w:sz w:val="17"/>
              </w:rPr>
              <w:t xml:space="preserve">Evaluaciones nacionales externas. </w:t>
            </w:r>
            <w:r>
              <w:rPr>
                <w:b w:val="0"/>
                <w:i w:val="0"/>
                <w:color w:val="1F2933"/>
                <w:sz w:val="16"/>
              </w:rPr>
              <w:t>Pruebas diagnósticas en Primaria y ESO, y prueba final de Bachillerato homologable, con resultados por centro usados para mejora, no para castigo automático.</w:t>
            </w:r>
          </w:p>
        </w:tc>
        <w:tc>
          <w:tcPr>
            <w:tcW w:type="dxa" w:w="1368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BFBFD"/>
          </w:tcPr>
          <w:p>
            <w:pPr>
              <w:jc w:val="center"/>
            </w:pPr>
            <w:r>
              <w:rPr>
                <w:b/>
                <w:i w:val="0"/>
                <w:color w:val="7E2E35"/>
                <w:sz w:val="14"/>
              </w:rPr>
              <w:t>Año 1</w:t>
            </w:r>
          </w:p>
        </w:tc>
      </w:tr>
      <w:tr>
        <w:trPr>
          <w:cantSplit/>
        </w:trPr>
        <w:tc>
          <w:tcPr>
            <w:tcW w:type="dxa" w:w="792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233B5F"/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19"/>
              </w:rPr>
              <w:t>63</w:t>
            </w:r>
          </w:p>
        </w:tc>
        <w:tc>
          <w:tcPr>
            <w:tcW w:type="dxa" w:w="7344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FFFFF"/>
          </w:tcPr>
          <w:p>
            <w:pPr>
              <w:spacing w:after="20"/>
            </w:pPr>
            <w:r>
              <w:rPr>
                <w:b/>
                <w:i w:val="0"/>
                <w:color w:val="233B5F"/>
                <w:sz w:val="17"/>
              </w:rPr>
              <w:t xml:space="preserve">Recuperación del esfuerzo académico. </w:t>
            </w:r>
            <w:r>
              <w:rPr>
                <w:b w:val="0"/>
                <w:i w:val="0"/>
                <w:color w:val="1F2933"/>
                <w:sz w:val="16"/>
              </w:rPr>
              <w:t>Promoción de curso condicionada a competencias mínimas, recuperación efectiva en verano y planes individualizados antes de repetir.</w:t>
            </w:r>
          </w:p>
        </w:tc>
        <w:tc>
          <w:tcPr>
            <w:tcW w:type="dxa" w:w="1368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FFFFF"/>
          </w:tcPr>
          <w:p>
            <w:pPr>
              <w:jc w:val="center"/>
            </w:pPr>
            <w:r>
              <w:rPr>
                <w:b/>
                <w:i w:val="0"/>
                <w:color w:val="7E2E35"/>
                <w:sz w:val="14"/>
              </w:rPr>
              <w:t>Año 1</w:t>
            </w:r>
          </w:p>
        </w:tc>
      </w:tr>
      <w:tr>
        <w:trPr>
          <w:cantSplit/>
        </w:trPr>
        <w:tc>
          <w:tcPr>
            <w:tcW w:type="dxa" w:w="792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7E2E35"/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19"/>
              </w:rPr>
              <w:t>64</w:t>
            </w:r>
          </w:p>
        </w:tc>
        <w:tc>
          <w:tcPr>
            <w:tcW w:type="dxa" w:w="7344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BFBFD"/>
          </w:tcPr>
          <w:p>
            <w:pPr>
              <w:spacing w:after="20"/>
            </w:pPr>
            <w:r>
              <w:rPr>
                <w:b/>
                <w:i w:val="0"/>
                <w:color w:val="233B5F"/>
                <w:sz w:val="17"/>
              </w:rPr>
              <w:t xml:space="preserve">Plan nacional de lectura y razonamiento matemático. </w:t>
            </w:r>
            <w:r>
              <w:rPr>
                <w:b w:val="0"/>
                <w:i w:val="0"/>
                <w:color w:val="1F2933"/>
                <w:sz w:val="16"/>
              </w:rPr>
              <w:t>Una hora diaria de lectura guiada en Primaria, cálculo mental, resolución de problemas y formación docente específica en evidencias de aprendizaje.</w:t>
            </w:r>
          </w:p>
        </w:tc>
        <w:tc>
          <w:tcPr>
            <w:tcW w:type="dxa" w:w="1368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BFBFD"/>
          </w:tcPr>
          <w:p>
            <w:pPr>
              <w:jc w:val="center"/>
            </w:pPr>
            <w:r>
              <w:rPr>
                <w:b/>
                <w:i w:val="0"/>
                <w:color w:val="233B5F"/>
                <w:sz w:val="14"/>
              </w:rPr>
              <w:t>100 días</w:t>
            </w:r>
          </w:p>
        </w:tc>
      </w:tr>
      <w:tr>
        <w:trPr>
          <w:cantSplit/>
        </w:trPr>
        <w:tc>
          <w:tcPr>
            <w:tcW w:type="dxa" w:w="792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233B5F"/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19"/>
              </w:rPr>
              <w:t>65</w:t>
            </w:r>
          </w:p>
        </w:tc>
        <w:tc>
          <w:tcPr>
            <w:tcW w:type="dxa" w:w="7344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FFFFF"/>
          </w:tcPr>
          <w:p>
            <w:pPr>
              <w:spacing w:after="20"/>
            </w:pPr>
            <w:r>
              <w:rPr>
                <w:b/>
                <w:i w:val="0"/>
                <w:color w:val="233B5F"/>
                <w:sz w:val="17"/>
              </w:rPr>
              <w:t xml:space="preserve">Autoridad pública del docente. </w:t>
            </w:r>
            <w:r>
              <w:rPr>
                <w:b w:val="0"/>
                <w:i w:val="0"/>
                <w:color w:val="1F2933"/>
                <w:sz w:val="16"/>
              </w:rPr>
              <w:t>Reconocimiento legal, protección frente a agresiones, protocolos de convivencia y asistencia jurídica para profesores y equipos directivos.</w:t>
            </w:r>
          </w:p>
        </w:tc>
        <w:tc>
          <w:tcPr>
            <w:tcW w:type="dxa" w:w="1368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FFFFF"/>
          </w:tcPr>
          <w:p>
            <w:pPr>
              <w:jc w:val="center"/>
            </w:pPr>
            <w:r>
              <w:rPr>
                <w:b/>
                <w:i w:val="0"/>
                <w:color w:val="7E2E35"/>
                <w:sz w:val="14"/>
              </w:rPr>
              <w:t>Año 1</w:t>
            </w:r>
          </w:p>
        </w:tc>
      </w:tr>
      <w:tr>
        <w:trPr>
          <w:cantSplit/>
        </w:trPr>
        <w:tc>
          <w:tcPr>
            <w:tcW w:type="dxa" w:w="792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7E2E35"/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19"/>
              </w:rPr>
              <w:t>66</w:t>
            </w:r>
          </w:p>
        </w:tc>
        <w:tc>
          <w:tcPr>
            <w:tcW w:type="dxa" w:w="7344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BFBFD"/>
          </w:tcPr>
          <w:p>
            <w:pPr>
              <w:spacing w:after="20"/>
            </w:pPr>
            <w:r>
              <w:rPr>
                <w:b/>
                <w:i w:val="0"/>
                <w:color w:val="233B5F"/>
                <w:sz w:val="17"/>
              </w:rPr>
              <w:t xml:space="preserve">Carrera docente meritocrática. </w:t>
            </w:r>
            <w:r>
              <w:rPr>
                <w:b w:val="0"/>
                <w:i w:val="0"/>
                <w:color w:val="1F2933"/>
                <w:sz w:val="16"/>
              </w:rPr>
              <w:t>Tramos profesionales vinculados a formación, mentoría, resultados de mejora, proyectos pedagógicos y permanencia en centros de especial dificultad.</w:t>
            </w:r>
          </w:p>
        </w:tc>
        <w:tc>
          <w:tcPr>
            <w:tcW w:type="dxa" w:w="1368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BFBFD"/>
          </w:tcPr>
          <w:p>
            <w:pPr>
              <w:jc w:val="center"/>
            </w:pPr>
            <w:r>
              <w:rPr>
                <w:b/>
                <w:i w:val="0"/>
                <w:color w:val="7E2E35"/>
                <w:sz w:val="14"/>
              </w:rPr>
              <w:t>Legislatura</w:t>
            </w:r>
          </w:p>
        </w:tc>
      </w:tr>
      <w:tr>
        <w:trPr>
          <w:cantSplit/>
        </w:trPr>
        <w:tc>
          <w:tcPr>
            <w:tcW w:type="dxa" w:w="792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233B5F"/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19"/>
              </w:rPr>
              <w:t>67</w:t>
            </w:r>
          </w:p>
        </w:tc>
        <w:tc>
          <w:tcPr>
            <w:tcW w:type="dxa" w:w="7344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FFFFF"/>
          </w:tcPr>
          <w:p>
            <w:pPr>
              <w:spacing w:after="20"/>
            </w:pPr>
            <w:r>
              <w:rPr>
                <w:b/>
                <w:i w:val="0"/>
                <w:color w:val="233B5F"/>
                <w:sz w:val="17"/>
              </w:rPr>
              <w:t xml:space="preserve">Acceso docente más exigente. </w:t>
            </w:r>
            <w:r>
              <w:rPr>
                <w:b w:val="0"/>
                <w:i w:val="0"/>
                <w:color w:val="1F2933"/>
                <w:sz w:val="16"/>
              </w:rPr>
              <w:t>Pruebas de conocimiento disciplinar, prácticas tuteladas remuneradas, evaluación de desempeño inicial y actualización obligatoria cada seis años.</w:t>
            </w:r>
          </w:p>
        </w:tc>
        <w:tc>
          <w:tcPr>
            <w:tcW w:type="dxa" w:w="1368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FFFFF"/>
          </w:tcPr>
          <w:p>
            <w:pPr>
              <w:jc w:val="center"/>
            </w:pPr>
            <w:r>
              <w:rPr>
                <w:b/>
                <w:i w:val="0"/>
                <w:color w:val="7E2E35"/>
                <w:sz w:val="14"/>
              </w:rPr>
              <w:t>Legislatura</w:t>
            </w:r>
          </w:p>
        </w:tc>
      </w:tr>
      <w:tr>
        <w:trPr>
          <w:cantSplit/>
        </w:trPr>
        <w:tc>
          <w:tcPr>
            <w:tcW w:type="dxa" w:w="792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7E2E35"/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19"/>
              </w:rPr>
              <w:t>68</w:t>
            </w:r>
          </w:p>
        </w:tc>
        <w:tc>
          <w:tcPr>
            <w:tcW w:type="dxa" w:w="7344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BFBFD"/>
          </w:tcPr>
          <w:p>
            <w:pPr>
              <w:spacing w:after="20"/>
            </w:pPr>
            <w:r>
              <w:rPr>
                <w:b/>
                <w:i w:val="0"/>
                <w:color w:val="233B5F"/>
                <w:sz w:val="17"/>
              </w:rPr>
              <w:t xml:space="preserve">Dirección escolar profesionalizada. </w:t>
            </w:r>
            <w:r>
              <w:rPr>
                <w:b w:val="0"/>
                <w:i w:val="0"/>
                <w:color w:val="1F2933"/>
                <w:sz w:val="16"/>
              </w:rPr>
              <w:t>Directores seleccionados por mérito, autonomía de gestión, capacidad de organizar equipos y rendición de cuentas ante comunidad educativa y administración.</w:t>
            </w:r>
          </w:p>
        </w:tc>
        <w:tc>
          <w:tcPr>
            <w:tcW w:type="dxa" w:w="1368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BFBFD"/>
          </w:tcPr>
          <w:p>
            <w:pPr>
              <w:jc w:val="center"/>
            </w:pPr>
            <w:r>
              <w:rPr>
                <w:b/>
                <w:i w:val="0"/>
                <w:color w:val="7E2E35"/>
                <w:sz w:val="14"/>
              </w:rPr>
              <w:t>Legislatura</w:t>
            </w:r>
          </w:p>
        </w:tc>
      </w:tr>
      <w:tr>
        <w:trPr>
          <w:cantSplit/>
        </w:trPr>
        <w:tc>
          <w:tcPr>
            <w:tcW w:type="dxa" w:w="792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233B5F"/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19"/>
              </w:rPr>
              <w:t>69</w:t>
            </w:r>
          </w:p>
        </w:tc>
        <w:tc>
          <w:tcPr>
            <w:tcW w:type="dxa" w:w="7344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FFFFF"/>
          </w:tcPr>
          <w:p>
            <w:pPr>
              <w:spacing w:after="20"/>
            </w:pPr>
            <w:r>
              <w:rPr>
                <w:b/>
                <w:i w:val="0"/>
                <w:color w:val="233B5F"/>
                <w:sz w:val="17"/>
              </w:rPr>
              <w:t xml:space="preserve">Humanidades y cultura clásica. </w:t>
            </w:r>
            <w:r>
              <w:rPr>
                <w:b w:val="0"/>
                <w:i w:val="0"/>
                <w:color w:val="1F2933"/>
                <w:sz w:val="16"/>
              </w:rPr>
              <w:t>Refuerzo de Filosofía, Latín, Griego, Literatura, Historia del Arte y pensamiento europeo como formación de ciudadanos libres y críticos.</w:t>
            </w:r>
          </w:p>
        </w:tc>
        <w:tc>
          <w:tcPr>
            <w:tcW w:type="dxa" w:w="1368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FFFFF"/>
          </w:tcPr>
          <w:p>
            <w:pPr>
              <w:jc w:val="center"/>
            </w:pPr>
            <w:r>
              <w:rPr>
                <w:b/>
                <w:i w:val="0"/>
                <w:color w:val="7E2E35"/>
                <w:sz w:val="14"/>
              </w:rPr>
              <w:t>Año 1</w:t>
            </w:r>
          </w:p>
        </w:tc>
      </w:tr>
      <w:tr>
        <w:trPr>
          <w:cantSplit/>
        </w:trPr>
        <w:tc>
          <w:tcPr>
            <w:tcW w:type="dxa" w:w="792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7E2E35"/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19"/>
              </w:rPr>
              <w:t>70</w:t>
            </w:r>
          </w:p>
        </w:tc>
        <w:tc>
          <w:tcPr>
            <w:tcW w:type="dxa" w:w="7344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BFBFD"/>
          </w:tcPr>
          <w:p>
            <w:pPr>
              <w:spacing w:after="20"/>
            </w:pPr>
            <w:r>
              <w:rPr>
                <w:b/>
                <w:i w:val="0"/>
                <w:color w:val="233B5F"/>
                <w:sz w:val="17"/>
              </w:rPr>
              <w:t xml:space="preserve">Historia de España y Europa con rigor. </w:t>
            </w:r>
            <w:r>
              <w:rPr>
                <w:b w:val="0"/>
                <w:i w:val="0"/>
                <w:color w:val="1F2933"/>
                <w:sz w:val="16"/>
              </w:rPr>
              <w:t>Programas comunes elaborados por comisiones académicas plurales, con documentos históricos, cronología, instituciones y dimensión iberoamericana.</w:t>
            </w:r>
          </w:p>
        </w:tc>
        <w:tc>
          <w:tcPr>
            <w:tcW w:type="dxa" w:w="1368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BFBFD"/>
          </w:tcPr>
          <w:p>
            <w:pPr>
              <w:jc w:val="center"/>
            </w:pPr>
            <w:r>
              <w:rPr>
                <w:b/>
                <w:i w:val="0"/>
                <w:color w:val="7E2E35"/>
                <w:sz w:val="14"/>
              </w:rPr>
              <w:t>Año 1</w:t>
            </w:r>
          </w:p>
        </w:tc>
      </w:tr>
      <w:tr>
        <w:trPr>
          <w:cantSplit/>
        </w:trPr>
        <w:tc>
          <w:tcPr>
            <w:tcW w:type="dxa" w:w="792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233B5F"/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19"/>
              </w:rPr>
              <w:t>71</w:t>
            </w:r>
          </w:p>
        </w:tc>
        <w:tc>
          <w:tcPr>
            <w:tcW w:type="dxa" w:w="7344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FFFFF"/>
          </w:tcPr>
          <w:p>
            <w:pPr>
              <w:spacing w:after="20"/>
            </w:pPr>
            <w:r>
              <w:rPr>
                <w:b/>
                <w:i w:val="0"/>
                <w:color w:val="233B5F"/>
                <w:sz w:val="17"/>
              </w:rPr>
              <w:t xml:space="preserve">FP dual de excelencia. </w:t>
            </w:r>
            <w:r>
              <w:rPr>
                <w:b w:val="0"/>
                <w:i w:val="0"/>
                <w:color w:val="1F2933"/>
                <w:sz w:val="16"/>
              </w:rPr>
              <w:t>Ampliar plazas en sectores industriales, sanitarios, tecnológicos, energéticos, agrarios y de cuidados, con contrato formativo y evaluación empresarial.</w:t>
            </w:r>
          </w:p>
        </w:tc>
        <w:tc>
          <w:tcPr>
            <w:tcW w:type="dxa" w:w="1368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FFFFF"/>
          </w:tcPr>
          <w:p>
            <w:pPr>
              <w:jc w:val="center"/>
            </w:pPr>
            <w:r>
              <w:rPr>
                <w:b/>
                <w:i w:val="0"/>
                <w:color w:val="7E2E35"/>
                <w:sz w:val="14"/>
              </w:rPr>
              <w:t>Legislatura</w:t>
            </w:r>
          </w:p>
        </w:tc>
      </w:tr>
      <w:tr>
        <w:trPr>
          <w:cantSplit/>
        </w:trPr>
        <w:tc>
          <w:tcPr>
            <w:tcW w:type="dxa" w:w="792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7E2E35"/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19"/>
              </w:rPr>
              <w:t>72</w:t>
            </w:r>
          </w:p>
        </w:tc>
        <w:tc>
          <w:tcPr>
            <w:tcW w:type="dxa" w:w="7344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BFBFD"/>
          </w:tcPr>
          <w:p>
            <w:pPr>
              <w:spacing w:after="20"/>
            </w:pPr>
            <w:r>
              <w:rPr>
                <w:b/>
                <w:i w:val="0"/>
                <w:color w:val="233B5F"/>
                <w:sz w:val="17"/>
              </w:rPr>
              <w:t xml:space="preserve">Orientación profesional temprana. </w:t>
            </w:r>
            <w:r>
              <w:rPr>
                <w:b w:val="0"/>
                <w:i w:val="0"/>
                <w:color w:val="1F2933"/>
                <w:sz w:val="16"/>
              </w:rPr>
              <w:t>Orientadores especializados desde 3º de ESO, mapa de empleabilidad local, visitas a empresas, universidades, fuerzas armadas, oficios y centros de investigación.</w:t>
            </w:r>
          </w:p>
        </w:tc>
        <w:tc>
          <w:tcPr>
            <w:tcW w:type="dxa" w:w="1368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BFBFD"/>
          </w:tcPr>
          <w:p>
            <w:pPr>
              <w:jc w:val="center"/>
            </w:pPr>
            <w:r>
              <w:rPr>
                <w:b/>
                <w:i w:val="0"/>
                <w:color w:val="7E2E35"/>
                <w:sz w:val="14"/>
              </w:rPr>
              <w:t>Año 1</w:t>
            </w:r>
          </w:p>
        </w:tc>
      </w:tr>
      <w:tr>
        <w:trPr>
          <w:cantSplit/>
        </w:trPr>
        <w:tc>
          <w:tcPr>
            <w:tcW w:type="dxa" w:w="792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233B5F"/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19"/>
              </w:rPr>
              <w:t>73</w:t>
            </w:r>
          </w:p>
        </w:tc>
        <w:tc>
          <w:tcPr>
            <w:tcW w:type="dxa" w:w="7344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FFFFF"/>
          </w:tcPr>
          <w:p>
            <w:pPr>
              <w:spacing w:after="20"/>
            </w:pPr>
            <w:r>
              <w:rPr>
                <w:b/>
                <w:i w:val="0"/>
                <w:color w:val="233B5F"/>
                <w:sz w:val="17"/>
              </w:rPr>
              <w:t xml:space="preserve">Becas de mérito y necesidad. </w:t>
            </w:r>
            <w:r>
              <w:rPr>
                <w:b w:val="0"/>
                <w:i w:val="0"/>
                <w:color w:val="1F2933"/>
                <w:sz w:val="16"/>
              </w:rPr>
              <w:t>Sistema transparente que combine renta, rendimiento y compromiso de continuidad, evitando que ningún alumno capaz abandone por motivos económicos.</w:t>
            </w:r>
          </w:p>
        </w:tc>
        <w:tc>
          <w:tcPr>
            <w:tcW w:type="dxa" w:w="1368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FFFFF"/>
          </w:tcPr>
          <w:p>
            <w:pPr>
              <w:jc w:val="center"/>
            </w:pPr>
            <w:r>
              <w:rPr>
                <w:b/>
                <w:i w:val="0"/>
                <w:color w:val="7E2E35"/>
                <w:sz w:val="14"/>
              </w:rPr>
              <w:t>Año 1</w:t>
            </w:r>
          </w:p>
        </w:tc>
      </w:tr>
      <w:tr>
        <w:trPr>
          <w:cantSplit/>
        </w:trPr>
        <w:tc>
          <w:tcPr>
            <w:tcW w:type="dxa" w:w="792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7E2E35"/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19"/>
              </w:rPr>
              <w:t>74</w:t>
            </w:r>
          </w:p>
        </w:tc>
        <w:tc>
          <w:tcPr>
            <w:tcW w:type="dxa" w:w="7344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BFBFD"/>
          </w:tcPr>
          <w:p>
            <w:pPr>
              <w:spacing w:after="20"/>
            </w:pPr>
            <w:r>
              <w:rPr>
                <w:b/>
                <w:i w:val="0"/>
                <w:color w:val="233B5F"/>
                <w:sz w:val="17"/>
              </w:rPr>
              <w:t xml:space="preserve">Programa de integración lingüística intensiva. </w:t>
            </w:r>
            <w:r>
              <w:rPr>
                <w:b w:val="0"/>
                <w:i w:val="0"/>
                <w:color w:val="1F2933"/>
                <w:sz w:val="16"/>
              </w:rPr>
              <w:t>Apoyo de lengua española y cultura cívica para alumnado recién llegado, sin aislarlo de su grupo ordinario y con tutoría familiar.</w:t>
            </w:r>
          </w:p>
        </w:tc>
        <w:tc>
          <w:tcPr>
            <w:tcW w:type="dxa" w:w="1368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BFBFD"/>
          </w:tcPr>
          <w:p>
            <w:pPr>
              <w:jc w:val="center"/>
            </w:pPr>
            <w:r>
              <w:rPr>
                <w:b/>
                <w:i w:val="0"/>
                <w:color w:val="7E2E35"/>
                <w:sz w:val="14"/>
              </w:rPr>
              <w:t>Año 1</w:t>
            </w:r>
          </w:p>
        </w:tc>
      </w:tr>
      <w:tr>
        <w:trPr>
          <w:cantSplit/>
        </w:trPr>
        <w:tc>
          <w:tcPr>
            <w:tcW w:type="dxa" w:w="792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233B5F"/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19"/>
              </w:rPr>
              <w:t>75</w:t>
            </w:r>
          </w:p>
        </w:tc>
        <w:tc>
          <w:tcPr>
            <w:tcW w:type="dxa" w:w="7344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FFFFF"/>
          </w:tcPr>
          <w:p>
            <w:pPr>
              <w:spacing w:after="20"/>
            </w:pPr>
            <w:r>
              <w:rPr>
                <w:b/>
                <w:i w:val="0"/>
                <w:color w:val="233B5F"/>
                <w:sz w:val="17"/>
              </w:rPr>
              <w:t xml:space="preserve">Escuela segura y ordenada. </w:t>
            </w:r>
            <w:r>
              <w:rPr>
                <w:b w:val="0"/>
                <w:i w:val="0"/>
                <w:color w:val="1F2933"/>
                <w:sz w:val="16"/>
              </w:rPr>
              <w:t>Protocolo nacional contra acoso, violencia, vandalismo, drogas y absentismo, con equipos de convivencia y colaboración con servicios sociales.</w:t>
            </w:r>
          </w:p>
        </w:tc>
        <w:tc>
          <w:tcPr>
            <w:tcW w:type="dxa" w:w="1368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FFFFF"/>
          </w:tcPr>
          <w:p>
            <w:pPr>
              <w:jc w:val="center"/>
            </w:pPr>
            <w:r>
              <w:rPr>
                <w:b/>
                <w:i w:val="0"/>
                <w:color w:val="233B5F"/>
                <w:sz w:val="14"/>
              </w:rPr>
              <w:t>100 días</w:t>
            </w:r>
          </w:p>
        </w:tc>
      </w:tr>
      <w:tr>
        <w:trPr>
          <w:cantSplit/>
        </w:trPr>
        <w:tc>
          <w:tcPr>
            <w:tcW w:type="dxa" w:w="792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7E2E35"/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19"/>
              </w:rPr>
              <w:t>76</w:t>
            </w:r>
          </w:p>
        </w:tc>
        <w:tc>
          <w:tcPr>
            <w:tcW w:type="dxa" w:w="7344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BFBFD"/>
          </w:tcPr>
          <w:p>
            <w:pPr>
              <w:spacing w:after="20"/>
            </w:pPr>
            <w:r>
              <w:rPr>
                <w:b/>
                <w:i w:val="0"/>
                <w:color w:val="233B5F"/>
                <w:sz w:val="17"/>
              </w:rPr>
              <w:t xml:space="preserve">Uso responsable de móviles y pantallas. </w:t>
            </w:r>
            <w:r>
              <w:rPr>
                <w:b w:val="0"/>
                <w:i w:val="0"/>
                <w:color w:val="1F2933"/>
                <w:sz w:val="16"/>
              </w:rPr>
              <w:t>Restricción de móviles en Infantil, Primaria y ESO salvo uso pedagógico, educación digital, prevención de adicciones y formación a familias.</w:t>
            </w:r>
          </w:p>
        </w:tc>
        <w:tc>
          <w:tcPr>
            <w:tcW w:type="dxa" w:w="1368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BFBFD"/>
          </w:tcPr>
          <w:p>
            <w:pPr>
              <w:jc w:val="center"/>
            </w:pPr>
            <w:r>
              <w:rPr>
                <w:b/>
                <w:i w:val="0"/>
                <w:color w:val="233B5F"/>
                <w:sz w:val="14"/>
              </w:rPr>
              <w:t>100 días</w:t>
            </w:r>
          </w:p>
        </w:tc>
      </w:tr>
      <w:tr>
        <w:trPr>
          <w:cantSplit/>
        </w:trPr>
        <w:tc>
          <w:tcPr>
            <w:tcW w:type="dxa" w:w="792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233B5F"/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19"/>
              </w:rPr>
              <w:t>77</w:t>
            </w:r>
          </w:p>
        </w:tc>
        <w:tc>
          <w:tcPr>
            <w:tcW w:type="dxa" w:w="7344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FFFFF"/>
          </w:tcPr>
          <w:p>
            <w:pPr>
              <w:spacing w:after="20"/>
            </w:pPr>
            <w:r>
              <w:rPr>
                <w:b/>
                <w:i w:val="0"/>
                <w:color w:val="233B5F"/>
                <w:sz w:val="17"/>
              </w:rPr>
              <w:t xml:space="preserve">Salud mental y carácter. </w:t>
            </w:r>
            <w:r>
              <w:rPr>
                <w:b w:val="0"/>
                <w:i w:val="0"/>
                <w:color w:val="1F2933"/>
                <w:sz w:val="16"/>
              </w:rPr>
              <w:t>Tutorías de hábitos, deporte, sueño, disciplina, servicio, resiliencia y detección temprana de ansiedad, depresión y violencia autolesiva.</w:t>
            </w:r>
          </w:p>
        </w:tc>
        <w:tc>
          <w:tcPr>
            <w:tcW w:type="dxa" w:w="1368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FFFFF"/>
          </w:tcPr>
          <w:p>
            <w:pPr>
              <w:jc w:val="center"/>
            </w:pPr>
            <w:r>
              <w:rPr>
                <w:b/>
                <w:i w:val="0"/>
                <w:color w:val="7E2E35"/>
                <w:sz w:val="14"/>
              </w:rPr>
              <w:t>Año 1</w:t>
            </w:r>
          </w:p>
        </w:tc>
      </w:tr>
      <w:tr>
        <w:trPr>
          <w:cantSplit/>
        </w:trPr>
        <w:tc>
          <w:tcPr>
            <w:tcW w:type="dxa" w:w="792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7E2E35"/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19"/>
              </w:rPr>
              <w:t>78</w:t>
            </w:r>
          </w:p>
        </w:tc>
        <w:tc>
          <w:tcPr>
            <w:tcW w:type="dxa" w:w="7344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BFBFD"/>
          </w:tcPr>
          <w:p>
            <w:pPr>
              <w:spacing w:after="20"/>
            </w:pPr>
            <w:r>
              <w:rPr>
                <w:b/>
                <w:i w:val="0"/>
                <w:color w:val="233B5F"/>
                <w:sz w:val="17"/>
              </w:rPr>
              <w:t xml:space="preserve">Educación especial e inclusión real. </w:t>
            </w:r>
            <w:r>
              <w:rPr>
                <w:b w:val="0"/>
                <w:i w:val="0"/>
                <w:color w:val="1F2933"/>
                <w:sz w:val="16"/>
              </w:rPr>
              <w:t>Libertad de elección de familias, apoyo a centros ordinarios y sostenimiento de centros específicos cuando sean la mejor respuesta educativa.</w:t>
            </w:r>
          </w:p>
        </w:tc>
        <w:tc>
          <w:tcPr>
            <w:tcW w:type="dxa" w:w="1368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BFBFD"/>
          </w:tcPr>
          <w:p>
            <w:pPr>
              <w:jc w:val="center"/>
            </w:pPr>
            <w:r>
              <w:rPr>
                <w:b/>
                <w:i w:val="0"/>
                <w:color w:val="7E2E35"/>
                <w:sz w:val="14"/>
              </w:rPr>
              <w:t>Legislatura</w:t>
            </w:r>
          </w:p>
        </w:tc>
      </w:tr>
      <w:tr>
        <w:trPr>
          <w:cantSplit/>
        </w:trPr>
        <w:tc>
          <w:tcPr>
            <w:tcW w:type="dxa" w:w="792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233B5F"/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19"/>
              </w:rPr>
              <w:t>79</w:t>
            </w:r>
          </w:p>
        </w:tc>
        <w:tc>
          <w:tcPr>
            <w:tcW w:type="dxa" w:w="7344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FFFFF"/>
          </w:tcPr>
          <w:p>
            <w:pPr>
              <w:spacing w:after="20"/>
            </w:pPr>
            <w:r>
              <w:rPr>
                <w:b/>
                <w:i w:val="0"/>
                <w:color w:val="233B5F"/>
                <w:sz w:val="17"/>
              </w:rPr>
              <w:t xml:space="preserve">Universidad orientada a excelencia y empleo. </w:t>
            </w:r>
            <w:r>
              <w:rPr>
                <w:b w:val="0"/>
                <w:i w:val="0"/>
                <w:color w:val="1F2933"/>
                <w:sz w:val="16"/>
              </w:rPr>
              <w:t>Financiación por calidad investigadora, transferencia, empleabilidad, internacionalización y reducción de burocracia, sin menoscabar la libertad académica.</w:t>
            </w:r>
          </w:p>
        </w:tc>
        <w:tc>
          <w:tcPr>
            <w:tcW w:type="dxa" w:w="1368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FFFFF"/>
          </w:tcPr>
          <w:p>
            <w:pPr>
              <w:jc w:val="center"/>
            </w:pPr>
            <w:r>
              <w:rPr>
                <w:b/>
                <w:i w:val="0"/>
                <w:color w:val="7E2E35"/>
                <w:sz w:val="14"/>
              </w:rPr>
              <w:t>Legislatura</w:t>
            </w:r>
          </w:p>
        </w:tc>
      </w:tr>
      <w:tr>
        <w:trPr>
          <w:cantSplit/>
        </w:trPr>
        <w:tc>
          <w:tcPr>
            <w:tcW w:type="dxa" w:w="792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7E2E35"/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19"/>
              </w:rPr>
              <w:t>80</w:t>
            </w:r>
          </w:p>
        </w:tc>
        <w:tc>
          <w:tcPr>
            <w:tcW w:type="dxa" w:w="7344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BFBFD"/>
          </w:tcPr>
          <w:p>
            <w:pPr>
              <w:spacing w:after="20"/>
            </w:pPr>
            <w:r>
              <w:rPr>
                <w:b/>
                <w:i w:val="0"/>
                <w:color w:val="233B5F"/>
                <w:sz w:val="17"/>
              </w:rPr>
              <w:t xml:space="preserve">Plan de excelencia rural y barrios vulnerables. </w:t>
            </w:r>
            <w:r>
              <w:rPr>
                <w:b w:val="0"/>
                <w:i w:val="0"/>
                <w:color w:val="1F2933"/>
                <w:sz w:val="16"/>
              </w:rPr>
              <w:t>Más profesores mentores, actividades de tarde, bibliotecas abiertas, refuerzo científico y becas de transporte en zonas con baja renta o dispersión.</w:t>
            </w:r>
          </w:p>
        </w:tc>
        <w:tc>
          <w:tcPr>
            <w:tcW w:type="dxa" w:w="1368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BFBFD"/>
          </w:tcPr>
          <w:p>
            <w:pPr>
              <w:jc w:val="center"/>
            </w:pPr>
            <w:r>
              <w:rPr>
                <w:b/>
                <w:i w:val="0"/>
                <w:color w:val="7E2E35"/>
                <w:sz w:val="14"/>
              </w:rPr>
              <w:t>Legislatura</w:t>
            </w:r>
          </w:p>
        </w:tc>
      </w:tr>
    </w:tbl>
    <w:p>
      <w:r>
        <w:br w:type="page"/>
      </w:r>
    </w:p>
    <w:p>
      <w:pPr>
        <w:jc w:val="left"/>
      </w:pPr>
      <w:r>
        <w:rPr>
          <w:b/>
          <w:i w:val="0"/>
          <w:color w:val="CFA96E"/>
          <w:sz w:val="26"/>
        </w:rPr>
        <w:t>V</w:t>
      </w:r>
      <w:r>
        <w:rPr>
          <w:b w:val="0"/>
          <w:i w:val="0"/>
          <w:sz w:val="26"/>
        </w:rPr>
        <w:t xml:space="preserve">  </w:t>
      </w:r>
      <w:r>
        <w:rPr>
          <w:b/>
          <w:i w:val="0"/>
          <w:color w:val="233B5F"/>
          <w:sz w:val="36"/>
        </w:rPr>
        <w:t>Fortaleza Económica y Soberanía Energética</w:t>
      </w:r>
    </w:p>
    <w:p>
      <w:r>
        <w:rPr>
          <w:b w:val="0"/>
          <w:i/>
          <w:color w:val="5A6473"/>
          <w:sz w:val="21"/>
        </w:rPr>
        <w:t>Prosperidad productiva, familia, campo y energía</w:t>
      </w:r>
    </w:p>
    <w:p>
      <w:pPr>
        <w:pBdr>
          <w:bottom w:val="single" w:sz="8" w:space="1" w:color="CFA96E"/>
        </w:pBdr>
      </w:pPr>
    </w:p>
    <w:p>
      <w:r>
        <w:rPr>
          <w:b w:val="0"/>
          <w:i w:val="0"/>
          <w:color w:val="1F2933"/>
          <w:sz w:val="18"/>
        </w:rPr>
        <w:t>Objetivo: construir prosperidad productiva, vivienda accesible, natalidad, soberanía energética y defensa del campo, con disciplina fiscal y menos burocracia.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792"/>
        <w:gridCol w:w="7344"/>
        <w:gridCol w:w="1368"/>
      </w:tblGrid>
      <w:tr>
        <w:trPr>
          <w:cantSplit/>
        </w:trPr>
        <w:tc>
          <w:tcPr>
            <w:tcW w:type="dxa" w:w="792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233B5F"/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19"/>
              </w:rPr>
              <w:t>81</w:t>
            </w:r>
          </w:p>
        </w:tc>
        <w:tc>
          <w:tcPr>
            <w:tcW w:type="dxa" w:w="7344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FFFFF"/>
          </w:tcPr>
          <w:p>
            <w:pPr>
              <w:spacing w:after="20"/>
            </w:pPr>
            <w:r>
              <w:rPr>
                <w:b/>
                <w:i w:val="0"/>
                <w:color w:val="233B5F"/>
                <w:sz w:val="17"/>
              </w:rPr>
              <w:t xml:space="preserve">Plan de Reindustrialización 2035. </w:t>
            </w:r>
            <w:r>
              <w:rPr>
                <w:b w:val="0"/>
                <w:i w:val="0"/>
                <w:color w:val="1F2933"/>
                <w:sz w:val="16"/>
              </w:rPr>
              <w:t>Incentivos fiscales y regulatorios para relocalizar producción crítica, ampliar plantas existentes y atraer inversión en automoción, defensa, salud, agroindustria y tecnología.</w:t>
            </w:r>
          </w:p>
        </w:tc>
        <w:tc>
          <w:tcPr>
            <w:tcW w:type="dxa" w:w="1368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FFFFF"/>
          </w:tcPr>
          <w:p>
            <w:pPr>
              <w:jc w:val="center"/>
            </w:pPr>
            <w:r>
              <w:rPr>
                <w:b/>
                <w:i w:val="0"/>
                <w:color w:val="7E2E35"/>
                <w:sz w:val="14"/>
              </w:rPr>
              <w:t>Legislatura</w:t>
            </w:r>
          </w:p>
        </w:tc>
      </w:tr>
      <w:tr>
        <w:trPr>
          <w:cantSplit/>
        </w:trPr>
        <w:tc>
          <w:tcPr>
            <w:tcW w:type="dxa" w:w="792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7E2E35"/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19"/>
              </w:rPr>
              <w:t>82</w:t>
            </w:r>
          </w:p>
        </w:tc>
        <w:tc>
          <w:tcPr>
            <w:tcW w:type="dxa" w:w="7344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BFBFD"/>
          </w:tcPr>
          <w:p>
            <w:pPr>
              <w:spacing w:after="20"/>
            </w:pPr>
            <w:r>
              <w:rPr>
                <w:b/>
                <w:i w:val="0"/>
                <w:color w:val="233B5F"/>
                <w:sz w:val="17"/>
              </w:rPr>
              <w:t xml:space="preserve">Permiso único industrial en 180 días. </w:t>
            </w:r>
            <w:r>
              <w:rPr>
                <w:b w:val="0"/>
                <w:i w:val="0"/>
                <w:color w:val="1F2933"/>
                <w:sz w:val="16"/>
              </w:rPr>
              <w:t>Ventanilla única, silencio positivo condicionado, evaluación ambiental ágil y trazabilidad digital para proyectos industriales estratégicos.</w:t>
            </w:r>
          </w:p>
        </w:tc>
        <w:tc>
          <w:tcPr>
            <w:tcW w:type="dxa" w:w="1368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BFBFD"/>
          </w:tcPr>
          <w:p>
            <w:pPr>
              <w:jc w:val="center"/>
            </w:pPr>
            <w:r>
              <w:rPr>
                <w:b/>
                <w:i w:val="0"/>
                <w:color w:val="7E2E35"/>
                <w:sz w:val="14"/>
              </w:rPr>
              <w:t>Año 1</w:t>
            </w:r>
          </w:p>
        </w:tc>
      </w:tr>
      <w:tr>
        <w:trPr>
          <w:cantSplit/>
        </w:trPr>
        <w:tc>
          <w:tcPr>
            <w:tcW w:type="dxa" w:w="792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233B5F"/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19"/>
              </w:rPr>
              <w:t>83</w:t>
            </w:r>
          </w:p>
        </w:tc>
        <w:tc>
          <w:tcPr>
            <w:tcW w:type="dxa" w:w="7344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FFFFF"/>
          </w:tcPr>
          <w:p>
            <w:pPr>
              <w:spacing w:after="20"/>
            </w:pPr>
            <w:r>
              <w:rPr>
                <w:b/>
                <w:i w:val="0"/>
                <w:color w:val="233B5F"/>
                <w:sz w:val="17"/>
              </w:rPr>
              <w:t xml:space="preserve">Fiscalidad proinversión para pymes. </w:t>
            </w:r>
            <w:r>
              <w:rPr>
                <w:b w:val="0"/>
                <w:i w:val="0"/>
                <w:color w:val="1F2933"/>
                <w:sz w:val="16"/>
              </w:rPr>
              <w:t>Deducciones por reinversión de beneficios, amortización acelerada de maquinaria, simplificación tributaria y reducción de costes administrativos recurrentes.</w:t>
            </w:r>
          </w:p>
        </w:tc>
        <w:tc>
          <w:tcPr>
            <w:tcW w:type="dxa" w:w="1368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FFFFF"/>
          </w:tcPr>
          <w:p>
            <w:pPr>
              <w:jc w:val="center"/>
            </w:pPr>
            <w:r>
              <w:rPr>
                <w:b/>
                <w:i w:val="0"/>
                <w:color w:val="7E2E35"/>
                <w:sz w:val="14"/>
              </w:rPr>
              <w:t>Año 1</w:t>
            </w:r>
          </w:p>
        </w:tc>
      </w:tr>
      <w:tr>
        <w:trPr>
          <w:cantSplit/>
        </w:trPr>
        <w:tc>
          <w:tcPr>
            <w:tcW w:type="dxa" w:w="792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7E2E35"/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19"/>
              </w:rPr>
              <w:t>84</w:t>
            </w:r>
          </w:p>
        </w:tc>
        <w:tc>
          <w:tcPr>
            <w:tcW w:type="dxa" w:w="7344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BFBFD"/>
          </w:tcPr>
          <w:p>
            <w:pPr>
              <w:spacing w:after="20"/>
            </w:pPr>
            <w:r>
              <w:rPr>
                <w:b/>
                <w:i w:val="0"/>
                <w:color w:val="233B5F"/>
                <w:sz w:val="17"/>
              </w:rPr>
              <w:t xml:space="preserve">Autónomos con cuota vinculada a ingresos reales. </w:t>
            </w:r>
            <w:r>
              <w:rPr>
                <w:b w:val="0"/>
                <w:i w:val="0"/>
                <w:color w:val="1F2933"/>
                <w:sz w:val="16"/>
              </w:rPr>
              <w:t>Sistema simple, previsible y progresivo que proteja inicios de actividad, segunda oportunidad y conciliación familiar.</w:t>
            </w:r>
          </w:p>
        </w:tc>
        <w:tc>
          <w:tcPr>
            <w:tcW w:type="dxa" w:w="1368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BFBFD"/>
          </w:tcPr>
          <w:p>
            <w:pPr>
              <w:jc w:val="center"/>
            </w:pPr>
            <w:r>
              <w:rPr>
                <w:b/>
                <w:i w:val="0"/>
                <w:color w:val="7E2E35"/>
                <w:sz w:val="14"/>
              </w:rPr>
              <w:t>Año 1</w:t>
            </w:r>
          </w:p>
        </w:tc>
      </w:tr>
      <w:tr>
        <w:trPr>
          <w:cantSplit/>
        </w:trPr>
        <w:tc>
          <w:tcPr>
            <w:tcW w:type="dxa" w:w="792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233B5F"/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19"/>
              </w:rPr>
              <w:t>85</w:t>
            </w:r>
          </w:p>
        </w:tc>
        <w:tc>
          <w:tcPr>
            <w:tcW w:type="dxa" w:w="7344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FFFFF"/>
          </w:tcPr>
          <w:p>
            <w:pPr>
              <w:spacing w:after="20"/>
            </w:pPr>
            <w:r>
              <w:rPr>
                <w:b/>
                <w:i w:val="0"/>
                <w:color w:val="233B5F"/>
                <w:sz w:val="17"/>
              </w:rPr>
              <w:t xml:space="preserve">Compra pública para industria nacional y europea. </w:t>
            </w:r>
            <w:r>
              <w:rPr>
                <w:b w:val="0"/>
                <w:i w:val="0"/>
                <w:color w:val="1F2933"/>
                <w:sz w:val="16"/>
              </w:rPr>
              <w:t>Criterios de seguridad, mantenimiento, huella logística, empleo local y valor estratégico en contratos de sanidad, defensa, energía e infraestructuras.</w:t>
            </w:r>
          </w:p>
        </w:tc>
        <w:tc>
          <w:tcPr>
            <w:tcW w:type="dxa" w:w="1368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FFFFF"/>
          </w:tcPr>
          <w:p>
            <w:pPr>
              <w:jc w:val="center"/>
            </w:pPr>
            <w:r>
              <w:rPr>
                <w:b/>
                <w:i w:val="0"/>
                <w:color w:val="7E2E35"/>
                <w:sz w:val="14"/>
              </w:rPr>
              <w:t>Año 1</w:t>
            </w:r>
          </w:p>
        </w:tc>
      </w:tr>
      <w:tr>
        <w:trPr>
          <w:cantSplit/>
        </w:trPr>
        <w:tc>
          <w:tcPr>
            <w:tcW w:type="dxa" w:w="792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7E2E35"/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19"/>
              </w:rPr>
              <w:t>86</w:t>
            </w:r>
          </w:p>
        </w:tc>
        <w:tc>
          <w:tcPr>
            <w:tcW w:type="dxa" w:w="7344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BFBFD"/>
          </w:tcPr>
          <w:p>
            <w:pPr>
              <w:spacing w:after="20"/>
            </w:pPr>
            <w:r>
              <w:rPr>
                <w:b/>
                <w:i w:val="0"/>
                <w:color w:val="233B5F"/>
                <w:sz w:val="17"/>
              </w:rPr>
              <w:t xml:space="preserve">Vivienda joven en suelo público. </w:t>
            </w:r>
            <w:r>
              <w:rPr>
                <w:b w:val="0"/>
                <w:i w:val="0"/>
                <w:color w:val="1F2933"/>
                <w:sz w:val="16"/>
              </w:rPr>
              <w:t>Construcción y movilización de vivienda asequible en alquiler con concesión de suelo, colaboración público-privada, industrialización y prioridad a menores de 35 y familias.</w:t>
            </w:r>
          </w:p>
        </w:tc>
        <w:tc>
          <w:tcPr>
            <w:tcW w:type="dxa" w:w="1368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BFBFD"/>
          </w:tcPr>
          <w:p>
            <w:pPr>
              <w:jc w:val="center"/>
            </w:pPr>
            <w:r>
              <w:rPr>
                <w:b/>
                <w:i w:val="0"/>
                <w:color w:val="7E2E35"/>
                <w:sz w:val="14"/>
              </w:rPr>
              <w:t>Legislatura</w:t>
            </w:r>
          </w:p>
        </w:tc>
      </w:tr>
      <w:tr>
        <w:trPr>
          <w:cantSplit/>
        </w:trPr>
        <w:tc>
          <w:tcPr>
            <w:tcW w:type="dxa" w:w="792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233B5F"/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19"/>
              </w:rPr>
              <w:t>87</w:t>
            </w:r>
          </w:p>
        </w:tc>
        <w:tc>
          <w:tcPr>
            <w:tcW w:type="dxa" w:w="7344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FFFFF"/>
          </w:tcPr>
          <w:p>
            <w:pPr>
              <w:spacing w:after="20"/>
            </w:pPr>
            <w:r>
              <w:rPr>
                <w:b/>
                <w:i w:val="0"/>
                <w:color w:val="233B5F"/>
                <w:sz w:val="17"/>
              </w:rPr>
              <w:t xml:space="preserve">Licencias urbanísticas rápidas y responsables. </w:t>
            </w:r>
            <w:r>
              <w:rPr>
                <w:b w:val="0"/>
                <w:i w:val="0"/>
                <w:color w:val="1F2933"/>
                <w:sz w:val="16"/>
              </w:rPr>
              <w:t>Plazos máximos, declaración responsable para obras menores, digitalización municipal y sanciones a retrasos injustificados que bloqueen vivienda y rehabilitación.</w:t>
            </w:r>
          </w:p>
        </w:tc>
        <w:tc>
          <w:tcPr>
            <w:tcW w:type="dxa" w:w="1368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FFFFF"/>
          </w:tcPr>
          <w:p>
            <w:pPr>
              <w:jc w:val="center"/>
            </w:pPr>
            <w:r>
              <w:rPr>
                <w:b/>
                <w:i w:val="0"/>
                <w:color w:val="7E2E35"/>
                <w:sz w:val="14"/>
              </w:rPr>
              <w:t>Año 1</w:t>
            </w:r>
          </w:p>
        </w:tc>
      </w:tr>
      <w:tr>
        <w:trPr>
          <w:cantSplit/>
        </w:trPr>
        <w:tc>
          <w:tcPr>
            <w:tcW w:type="dxa" w:w="792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7E2E35"/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19"/>
              </w:rPr>
              <w:t>88</w:t>
            </w:r>
          </w:p>
        </w:tc>
        <w:tc>
          <w:tcPr>
            <w:tcW w:type="dxa" w:w="7344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BFBFD"/>
          </w:tcPr>
          <w:p>
            <w:pPr>
              <w:spacing w:after="20"/>
            </w:pPr>
            <w:r>
              <w:rPr>
                <w:b/>
                <w:i w:val="0"/>
                <w:color w:val="233B5F"/>
                <w:sz w:val="17"/>
              </w:rPr>
              <w:t xml:space="preserve">Seguro público-privado de alquiler asequible. </w:t>
            </w:r>
            <w:r>
              <w:rPr>
                <w:b w:val="0"/>
                <w:i w:val="0"/>
                <w:color w:val="1F2933"/>
                <w:sz w:val="16"/>
              </w:rPr>
              <w:t>Garantía contra impago y daños a cambio de precios moderados, estabilidad contractual y entrada de vivienda vacía al mercado.</w:t>
            </w:r>
          </w:p>
        </w:tc>
        <w:tc>
          <w:tcPr>
            <w:tcW w:type="dxa" w:w="1368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BFBFD"/>
          </w:tcPr>
          <w:p>
            <w:pPr>
              <w:jc w:val="center"/>
            </w:pPr>
            <w:r>
              <w:rPr>
                <w:b/>
                <w:i w:val="0"/>
                <w:color w:val="7E2E35"/>
                <w:sz w:val="14"/>
              </w:rPr>
              <w:t>Año 1</w:t>
            </w:r>
          </w:p>
        </w:tc>
      </w:tr>
      <w:tr>
        <w:trPr>
          <w:cantSplit/>
        </w:trPr>
        <w:tc>
          <w:tcPr>
            <w:tcW w:type="dxa" w:w="792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233B5F"/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19"/>
              </w:rPr>
              <w:t>89</w:t>
            </w:r>
          </w:p>
        </w:tc>
        <w:tc>
          <w:tcPr>
            <w:tcW w:type="dxa" w:w="7344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FFFFF"/>
          </w:tcPr>
          <w:p>
            <w:pPr>
              <w:spacing w:after="20"/>
            </w:pPr>
            <w:r>
              <w:rPr>
                <w:b/>
                <w:i w:val="0"/>
                <w:color w:val="233B5F"/>
                <w:sz w:val="17"/>
              </w:rPr>
              <w:t xml:space="preserve">Préstamo familiar de primera vivienda. </w:t>
            </w:r>
            <w:r>
              <w:rPr>
                <w:b w:val="0"/>
                <w:i w:val="0"/>
                <w:color w:val="1F2933"/>
                <w:sz w:val="16"/>
              </w:rPr>
              <w:t>Avales y préstamos a interés reducido para jóvenes familias solventes, ligados a vivienda habitual y con límites de renta y precio.</w:t>
            </w:r>
          </w:p>
        </w:tc>
        <w:tc>
          <w:tcPr>
            <w:tcW w:type="dxa" w:w="1368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FFFFF"/>
          </w:tcPr>
          <w:p>
            <w:pPr>
              <w:jc w:val="center"/>
            </w:pPr>
            <w:r>
              <w:rPr>
                <w:b/>
                <w:i w:val="0"/>
                <w:color w:val="7E2E35"/>
                <w:sz w:val="14"/>
              </w:rPr>
              <w:t>Legislatura</w:t>
            </w:r>
          </w:p>
        </w:tc>
      </w:tr>
      <w:tr>
        <w:trPr>
          <w:cantSplit/>
        </w:trPr>
        <w:tc>
          <w:tcPr>
            <w:tcW w:type="dxa" w:w="792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7E2E35"/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19"/>
              </w:rPr>
              <w:t>90</w:t>
            </w:r>
          </w:p>
        </w:tc>
        <w:tc>
          <w:tcPr>
            <w:tcW w:type="dxa" w:w="7344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BFBFD"/>
          </w:tcPr>
          <w:p>
            <w:pPr>
              <w:spacing w:after="20"/>
            </w:pPr>
            <w:r>
              <w:rPr>
                <w:b/>
                <w:i w:val="0"/>
                <w:color w:val="233B5F"/>
                <w:sz w:val="17"/>
              </w:rPr>
              <w:t xml:space="preserve">Deducción fiscal por hijos y natalidad. </w:t>
            </w:r>
            <w:r>
              <w:rPr>
                <w:b w:val="0"/>
                <w:i w:val="0"/>
                <w:color w:val="1F2933"/>
                <w:sz w:val="16"/>
              </w:rPr>
              <w:t>Deducciones desde el primer hijo, ayudas reforzadas a partir del segundo y complemento para familias numerosas y hogares con discapacidad.</w:t>
            </w:r>
          </w:p>
        </w:tc>
        <w:tc>
          <w:tcPr>
            <w:tcW w:type="dxa" w:w="1368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BFBFD"/>
          </w:tcPr>
          <w:p>
            <w:pPr>
              <w:jc w:val="center"/>
            </w:pPr>
            <w:r>
              <w:rPr>
                <w:b/>
                <w:i w:val="0"/>
                <w:color w:val="7E2E35"/>
                <w:sz w:val="14"/>
              </w:rPr>
              <w:t>Año 1</w:t>
            </w:r>
          </w:p>
        </w:tc>
      </w:tr>
      <w:tr>
        <w:trPr>
          <w:cantSplit/>
        </w:trPr>
        <w:tc>
          <w:tcPr>
            <w:tcW w:type="dxa" w:w="792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233B5F"/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19"/>
              </w:rPr>
              <w:t>91</w:t>
            </w:r>
          </w:p>
        </w:tc>
        <w:tc>
          <w:tcPr>
            <w:tcW w:type="dxa" w:w="7344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FFFFF"/>
          </w:tcPr>
          <w:p>
            <w:pPr>
              <w:spacing w:after="20"/>
            </w:pPr>
            <w:r>
              <w:rPr>
                <w:b/>
                <w:i w:val="0"/>
                <w:color w:val="233B5F"/>
                <w:sz w:val="17"/>
              </w:rPr>
              <w:t xml:space="preserve">Conciliación real empresa-familia. </w:t>
            </w:r>
            <w:r>
              <w:rPr>
                <w:b w:val="0"/>
                <w:i w:val="0"/>
                <w:color w:val="1F2933"/>
                <w:sz w:val="16"/>
              </w:rPr>
              <w:t>Bonificaciones a horarios flexibles, teletrabajo pactado, guarderías de empresa, permisos corresponsables y apoyo a cuidadores de mayores dependientes.</w:t>
            </w:r>
          </w:p>
        </w:tc>
        <w:tc>
          <w:tcPr>
            <w:tcW w:type="dxa" w:w="1368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FFFFF"/>
          </w:tcPr>
          <w:p>
            <w:pPr>
              <w:jc w:val="center"/>
            </w:pPr>
            <w:r>
              <w:rPr>
                <w:b/>
                <w:i w:val="0"/>
                <w:color w:val="7E2E35"/>
                <w:sz w:val="14"/>
              </w:rPr>
              <w:t>Año 1</w:t>
            </w:r>
          </w:p>
        </w:tc>
      </w:tr>
      <w:tr>
        <w:trPr>
          <w:cantSplit/>
        </w:trPr>
        <w:tc>
          <w:tcPr>
            <w:tcW w:type="dxa" w:w="792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7E2E35"/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19"/>
              </w:rPr>
              <w:t>92</w:t>
            </w:r>
          </w:p>
        </w:tc>
        <w:tc>
          <w:tcPr>
            <w:tcW w:type="dxa" w:w="7344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BFBFD"/>
          </w:tcPr>
          <w:p>
            <w:pPr>
              <w:spacing w:after="20"/>
            </w:pPr>
            <w:r>
              <w:rPr>
                <w:b/>
                <w:i w:val="0"/>
                <w:color w:val="233B5F"/>
                <w:sz w:val="17"/>
              </w:rPr>
              <w:t xml:space="preserve">Extensión ordenada de la vida nuclear. </w:t>
            </w:r>
            <w:r>
              <w:rPr>
                <w:b w:val="0"/>
                <w:i w:val="0"/>
                <w:color w:val="1F2933"/>
                <w:sz w:val="16"/>
              </w:rPr>
              <w:t>Mantener centrales nucleares seguras mientras sean técnicamente viables, con supervisión independiente y reinversión en residuos, seguridad y territorio.</w:t>
            </w:r>
          </w:p>
        </w:tc>
        <w:tc>
          <w:tcPr>
            <w:tcW w:type="dxa" w:w="1368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BFBFD"/>
          </w:tcPr>
          <w:p>
            <w:pPr>
              <w:jc w:val="center"/>
            </w:pPr>
            <w:r>
              <w:rPr>
                <w:b/>
                <w:i w:val="0"/>
                <w:color w:val="7E2E35"/>
                <w:sz w:val="14"/>
              </w:rPr>
              <w:t>Año 1</w:t>
            </w:r>
          </w:p>
        </w:tc>
      </w:tr>
      <w:tr>
        <w:trPr>
          <w:cantSplit/>
        </w:trPr>
        <w:tc>
          <w:tcPr>
            <w:tcW w:type="dxa" w:w="792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233B5F"/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19"/>
              </w:rPr>
              <w:t>93</w:t>
            </w:r>
          </w:p>
        </w:tc>
        <w:tc>
          <w:tcPr>
            <w:tcW w:type="dxa" w:w="7344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FFFFF"/>
          </w:tcPr>
          <w:p>
            <w:pPr>
              <w:spacing w:after="20"/>
            </w:pPr>
            <w:r>
              <w:rPr>
                <w:b/>
                <w:i w:val="0"/>
                <w:color w:val="233B5F"/>
                <w:sz w:val="17"/>
              </w:rPr>
              <w:t xml:space="preserve">Programa piloto de SMR. </w:t>
            </w:r>
            <w:r>
              <w:rPr>
                <w:b w:val="0"/>
                <w:i w:val="0"/>
                <w:color w:val="1F2933"/>
                <w:sz w:val="16"/>
              </w:rPr>
              <w:t>Evaluar pequeños reactores modulares para industria intensiva, territorios insulares o polos tecnológicos, solo con garantía de seguridad y viabilidad económica.</w:t>
            </w:r>
          </w:p>
        </w:tc>
        <w:tc>
          <w:tcPr>
            <w:tcW w:type="dxa" w:w="1368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FFFFF"/>
          </w:tcPr>
          <w:p>
            <w:pPr>
              <w:jc w:val="center"/>
            </w:pPr>
            <w:r>
              <w:rPr>
                <w:b/>
                <w:i w:val="0"/>
                <w:color w:val="7E2E35"/>
                <w:sz w:val="14"/>
              </w:rPr>
              <w:t>Legislatura</w:t>
            </w:r>
          </w:p>
        </w:tc>
      </w:tr>
      <w:tr>
        <w:trPr>
          <w:cantSplit/>
        </w:trPr>
        <w:tc>
          <w:tcPr>
            <w:tcW w:type="dxa" w:w="792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7E2E35"/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19"/>
              </w:rPr>
              <w:t>94</w:t>
            </w:r>
          </w:p>
        </w:tc>
        <w:tc>
          <w:tcPr>
            <w:tcW w:type="dxa" w:w="7344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BFBFD"/>
          </w:tcPr>
          <w:p>
            <w:pPr>
              <w:spacing w:after="20"/>
            </w:pPr>
            <w:r>
              <w:rPr>
                <w:b/>
                <w:i w:val="0"/>
                <w:color w:val="233B5F"/>
                <w:sz w:val="17"/>
              </w:rPr>
              <w:t xml:space="preserve">Renovables compatibles con campo y paisaje. </w:t>
            </w:r>
            <w:r>
              <w:rPr>
                <w:b w:val="0"/>
                <w:i w:val="0"/>
                <w:color w:val="1F2933"/>
                <w:sz w:val="16"/>
              </w:rPr>
              <w:t>Prioridad a autoconsumo, tejados, comunidades energéticas, almacenamiento, repotenciación y proyectos con participación local, evitando ocupación desordenada de suelo agrario.</w:t>
            </w:r>
          </w:p>
        </w:tc>
        <w:tc>
          <w:tcPr>
            <w:tcW w:type="dxa" w:w="1368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BFBFD"/>
          </w:tcPr>
          <w:p>
            <w:pPr>
              <w:jc w:val="center"/>
            </w:pPr>
            <w:r>
              <w:rPr>
                <w:b/>
                <w:i w:val="0"/>
                <w:color w:val="7E2E35"/>
                <w:sz w:val="14"/>
              </w:rPr>
              <w:t>Año 1</w:t>
            </w:r>
          </w:p>
        </w:tc>
      </w:tr>
      <w:tr>
        <w:trPr>
          <w:cantSplit/>
        </w:trPr>
        <w:tc>
          <w:tcPr>
            <w:tcW w:type="dxa" w:w="792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233B5F"/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19"/>
              </w:rPr>
              <w:t>95</w:t>
            </w:r>
          </w:p>
        </w:tc>
        <w:tc>
          <w:tcPr>
            <w:tcW w:type="dxa" w:w="7344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FFFFF"/>
          </w:tcPr>
          <w:p>
            <w:pPr>
              <w:spacing w:after="20"/>
            </w:pPr>
            <w:r>
              <w:rPr>
                <w:b/>
                <w:i w:val="0"/>
                <w:color w:val="233B5F"/>
                <w:sz w:val="17"/>
              </w:rPr>
              <w:t xml:space="preserve">Red eléctrica y almacenamiento como prioridad nacional. </w:t>
            </w:r>
            <w:r>
              <w:rPr>
                <w:b w:val="0"/>
                <w:i w:val="0"/>
                <w:color w:val="1F2933"/>
                <w:sz w:val="16"/>
              </w:rPr>
              <w:t>Inversión acelerada en redes, baterías, bombeo hidráulico, gestión de demanda y ciberseguridad para evitar vertidos, apagones y cuellos de botella industriales.</w:t>
            </w:r>
          </w:p>
        </w:tc>
        <w:tc>
          <w:tcPr>
            <w:tcW w:type="dxa" w:w="1368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FFFFF"/>
          </w:tcPr>
          <w:p>
            <w:pPr>
              <w:jc w:val="center"/>
            </w:pPr>
            <w:r>
              <w:rPr>
                <w:b/>
                <w:i w:val="0"/>
                <w:color w:val="7E2E35"/>
                <w:sz w:val="14"/>
              </w:rPr>
              <w:t>Legislatura</w:t>
            </w:r>
          </w:p>
        </w:tc>
      </w:tr>
      <w:tr>
        <w:trPr>
          <w:cantSplit/>
        </w:trPr>
        <w:tc>
          <w:tcPr>
            <w:tcW w:type="dxa" w:w="792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7E2E35"/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19"/>
              </w:rPr>
              <w:t>96</w:t>
            </w:r>
          </w:p>
        </w:tc>
        <w:tc>
          <w:tcPr>
            <w:tcW w:type="dxa" w:w="7344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BFBFD"/>
          </w:tcPr>
          <w:p>
            <w:pPr>
              <w:spacing w:after="20"/>
            </w:pPr>
            <w:r>
              <w:rPr>
                <w:b/>
                <w:i w:val="0"/>
                <w:color w:val="233B5F"/>
                <w:sz w:val="17"/>
              </w:rPr>
              <w:t xml:space="preserve">Energía competitiva para industria electrointensiva. </w:t>
            </w:r>
            <w:r>
              <w:rPr>
                <w:b w:val="0"/>
                <w:i w:val="0"/>
                <w:color w:val="1F2933"/>
                <w:sz w:val="16"/>
              </w:rPr>
              <w:t>Contratos bilaterales de largo plazo, compensación de costes indirectos, eficiencia energética y acceso preferente a potencia renovable y nuclear estable.</w:t>
            </w:r>
          </w:p>
        </w:tc>
        <w:tc>
          <w:tcPr>
            <w:tcW w:type="dxa" w:w="1368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BFBFD"/>
          </w:tcPr>
          <w:p>
            <w:pPr>
              <w:jc w:val="center"/>
            </w:pPr>
            <w:r>
              <w:rPr>
                <w:b/>
                <w:i w:val="0"/>
                <w:color w:val="7E2E35"/>
                <w:sz w:val="14"/>
              </w:rPr>
              <w:t>Año 1</w:t>
            </w:r>
          </w:p>
        </w:tc>
      </w:tr>
      <w:tr>
        <w:trPr>
          <w:cantSplit/>
        </w:trPr>
        <w:tc>
          <w:tcPr>
            <w:tcW w:type="dxa" w:w="792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233B5F"/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19"/>
              </w:rPr>
              <w:t>97</w:t>
            </w:r>
          </w:p>
        </w:tc>
        <w:tc>
          <w:tcPr>
            <w:tcW w:type="dxa" w:w="7344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FFFFF"/>
          </w:tcPr>
          <w:p>
            <w:pPr>
              <w:spacing w:after="20"/>
            </w:pPr>
            <w:r>
              <w:rPr>
                <w:b/>
                <w:i w:val="0"/>
                <w:color w:val="233B5F"/>
                <w:sz w:val="17"/>
              </w:rPr>
              <w:t xml:space="preserve">Pacto nacional por el agua. </w:t>
            </w:r>
            <w:r>
              <w:rPr>
                <w:b w:val="0"/>
                <w:i w:val="0"/>
                <w:color w:val="1F2933"/>
                <w:sz w:val="16"/>
              </w:rPr>
              <w:t>Interconexiones prudentes, desalación eficiente, reutilización, modernización de regadíos, limpieza de cauces y gobernanza de cuencas basada en datos.</w:t>
            </w:r>
          </w:p>
        </w:tc>
        <w:tc>
          <w:tcPr>
            <w:tcW w:type="dxa" w:w="1368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FFFFF"/>
          </w:tcPr>
          <w:p>
            <w:pPr>
              <w:jc w:val="center"/>
            </w:pPr>
            <w:r>
              <w:rPr>
                <w:b/>
                <w:i w:val="0"/>
                <w:color w:val="7E2E35"/>
                <w:sz w:val="14"/>
              </w:rPr>
              <w:t>Legislatura</w:t>
            </w:r>
          </w:p>
        </w:tc>
      </w:tr>
      <w:tr>
        <w:trPr>
          <w:cantSplit/>
        </w:trPr>
        <w:tc>
          <w:tcPr>
            <w:tcW w:type="dxa" w:w="792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7E2E35"/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19"/>
              </w:rPr>
              <w:t>98</w:t>
            </w:r>
          </w:p>
        </w:tc>
        <w:tc>
          <w:tcPr>
            <w:tcW w:type="dxa" w:w="7344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BFBFD"/>
          </w:tcPr>
          <w:p>
            <w:pPr>
              <w:spacing w:after="20"/>
            </w:pPr>
            <w:r>
              <w:rPr>
                <w:b/>
                <w:i w:val="0"/>
                <w:color w:val="233B5F"/>
                <w:sz w:val="17"/>
              </w:rPr>
              <w:t xml:space="preserve">Defensa del sector primario. </w:t>
            </w:r>
            <w:r>
              <w:rPr>
                <w:b w:val="0"/>
                <w:i w:val="0"/>
                <w:color w:val="1F2933"/>
                <w:sz w:val="16"/>
              </w:rPr>
              <w:t>Cláusulas espejo, reducción de burocracia PAC, relevo generacional, seguros agrarios, precio justo, sanidad animal y apoyo a cooperativas exportadoras.</w:t>
            </w:r>
          </w:p>
        </w:tc>
        <w:tc>
          <w:tcPr>
            <w:tcW w:type="dxa" w:w="1368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BFBFD"/>
          </w:tcPr>
          <w:p>
            <w:pPr>
              <w:jc w:val="center"/>
            </w:pPr>
            <w:r>
              <w:rPr>
                <w:b/>
                <w:i w:val="0"/>
                <w:color w:val="7E2E35"/>
                <w:sz w:val="14"/>
              </w:rPr>
              <w:t>Año 1</w:t>
            </w:r>
          </w:p>
        </w:tc>
      </w:tr>
      <w:tr>
        <w:trPr>
          <w:cantSplit/>
        </w:trPr>
        <w:tc>
          <w:tcPr>
            <w:tcW w:type="dxa" w:w="792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233B5F"/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19"/>
              </w:rPr>
              <w:t>99</w:t>
            </w:r>
          </w:p>
        </w:tc>
        <w:tc>
          <w:tcPr>
            <w:tcW w:type="dxa" w:w="7344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FFFFF"/>
          </w:tcPr>
          <w:p>
            <w:pPr>
              <w:spacing w:after="20"/>
            </w:pPr>
            <w:r>
              <w:rPr>
                <w:b/>
                <w:i w:val="0"/>
                <w:color w:val="233B5F"/>
                <w:sz w:val="17"/>
              </w:rPr>
              <w:t xml:space="preserve">Productividad e IA para pymes. </w:t>
            </w:r>
            <w:r>
              <w:rPr>
                <w:b w:val="0"/>
                <w:i w:val="0"/>
                <w:color w:val="1F2933"/>
                <w:sz w:val="16"/>
              </w:rPr>
              <w:t>Bono de automatización, formación en inteligencia artificial, ciberseguridad, facturación digital, robots colaborativos y asesoría técnica para pequeñas empresas.</w:t>
            </w:r>
          </w:p>
        </w:tc>
        <w:tc>
          <w:tcPr>
            <w:tcW w:type="dxa" w:w="1368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FFFFF"/>
          </w:tcPr>
          <w:p>
            <w:pPr>
              <w:jc w:val="center"/>
            </w:pPr>
            <w:r>
              <w:rPr>
                <w:b/>
                <w:i w:val="0"/>
                <w:color w:val="7E2E35"/>
                <w:sz w:val="14"/>
              </w:rPr>
              <w:t>Año 1</w:t>
            </w:r>
          </w:p>
        </w:tc>
      </w:tr>
      <w:tr>
        <w:trPr>
          <w:cantSplit/>
        </w:trPr>
        <w:tc>
          <w:tcPr>
            <w:tcW w:type="dxa" w:w="792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7E2E35"/>
          </w:tcPr>
          <w:p>
            <w:pPr>
              <w:jc w:val="center"/>
            </w:pPr>
            <w:r>
              <w:rPr>
                <w:b/>
                <w:i w:val="0"/>
                <w:color w:val="FFFFFF"/>
                <w:sz w:val="19"/>
              </w:rPr>
              <w:t>100</w:t>
            </w:r>
          </w:p>
        </w:tc>
        <w:tc>
          <w:tcPr>
            <w:tcW w:type="dxa" w:w="7344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BFBFD"/>
          </w:tcPr>
          <w:p>
            <w:pPr>
              <w:spacing w:after="20"/>
            </w:pPr>
            <w:r>
              <w:rPr>
                <w:b/>
                <w:i w:val="0"/>
                <w:color w:val="233B5F"/>
                <w:sz w:val="17"/>
              </w:rPr>
              <w:t xml:space="preserve">Regla fiscal de prosperidad. </w:t>
            </w:r>
            <w:r>
              <w:rPr>
                <w:b w:val="0"/>
                <w:i w:val="0"/>
                <w:color w:val="1F2933"/>
                <w:sz w:val="16"/>
              </w:rPr>
              <w:t>Revisión del gasto público, eliminación de duplicidades, evaluación de subvenciones y senda de deuda decreciente para liberar recursos a familias e inversión productiva.</w:t>
            </w:r>
          </w:p>
        </w:tc>
        <w:tc>
          <w:tcPr>
            <w:tcW w:type="dxa" w:w="1368"/>
            <w:tcMar>
              <w:top w:w="85" w:type="dxa"/>
              <w:start w:w="85" w:type="dxa"/>
              <w:bottom w:w="85" w:type="dxa"/>
              <w:end w:w="85" w:type="dxa"/>
            </w:tcMar>
            <w:vAlign w:val="top"/>
            <w:tcBorders>
              <w:bottom w:sz="4" w:val="single" w:color="D9DEE8"/>
            </w:tcBorders>
            <w:shd w:fill="FBFBFD"/>
          </w:tcPr>
          <w:p>
            <w:pPr>
              <w:jc w:val="center"/>
            </w:pPr>
            <w:r>
              <w:rPr>
                <w:b/>
                <w:i w:val="0"/>
                <w:color w:val="7E2E35"/>
                <w:sz w:val="14"/>
              </w:rPr>
              <w:t>Legislatura</w:t>
            </w:r>
          </w:p>
        </w:tc>
      </w:tr>
    </w:tbl>
    <w:p>
      <w:pPr>
        <w:sectPr>
          <w:headerReference w:type="default" r:id="rId9"/>
          <w:footerReference w:type="default" r:id="rId10"/>
          <w:pgSz w:w="12240" w:h="15840"/>
          <w:pgMar w:top="1080" w:right="1037" w:bottom="936" w:left="1037" w:header="720" w:footer="720" w:gutter="0"/>
          <w:cols w:space="720"/>
          <w:titlePg/>
          <w:docGrid w:linePitch="360"/>
        </w:sectPr>
      </w:pPr>
    </w:p>
    <w:p>
      <w:pPr>
        <w:pStyle w:val="Heading1"/>
      </w:pPr>
      <w:r>
        <w:t>Hoja de ruta de los primeros 100 días</w:t>
      </w:r>
    </w:p>
    <w:p>
      <w:r>
        <w:rPr>
          <w:b/>
          <w:i w:val="0"/>
          <w:color w:val="7E2E35"/>
        </w:rPr>
        <w:t>Prioridades de arranque</w:t>
      </w:r>
      <w:r>
        <w:rPr>
          <w:b w:val="0"/>
          <w:i w:val="0"/>
        </w:rPr>
        <w:t>: decisiones que proyectan seriedad institucional y permiten mostrar resultados tempranos sin esperar a toda la legislatura.</w:t>
      </w:r>
    </w:p>
    <w:p>
      <w:pPr>
        <w:ind w:left="360" w:hanging="288"/>
      </w:pPr>
      <w:r>
        <w:rPr>
          <w:b/>
          <w:i w:val="0"/>
          <w:color w:val="CFA96E"/>
        </w:rPr>
        <w:t xml:space="preserve">1. </w:t>
      </w:r>
      <w:r>
        <w:rPr>
          <w:b w:val="0"/>
          <w:i w:val="0"/>
          <w:sz w:val="18"/>
        </w:rPr>
        <w:t>Auditoría de entes públicos y mapa de duplicidades.</w:t>
      </w:r>
    </w:p>
    <w:p>
      <w:pPr>
        <w:ind w:left="360" w:hanging="288"/>
      </w:pPr>
      <w:r>
        <w:rPr>
          <w:b/>
          <w:i w:val="0"/>
          <w:color w:val="CFA96E"/>
        </w:rPr>
        <w:t xml:space="preserve">2. </w:t>
      </w:r>
      <w:r>
        <w:rPr>
          <w:b w:val="0"/>
          <w:i w:val="0"/>
          <w:sz w:val="18"/>
        </w:rPr>
        <w:t>Portal único de contratación pública en formato abierto.</w:t>
      </w:r>
    </w:p>
    <w:p>
      <w:pPr>
        <w:ind w:left="360" w:hanging="288"/>
      </w:pPr>
      <w:r>
        <w:rPr>
          <w:b/>
          <w:i w:val="0"/>
          <w:color w:val="CFA96E"/>
        </w:rPr>
        <w:t xml:space="preserve">3. </w:t>
      </w:r>
      <w:r>
        <w:rPr>
          <w:b w:val="0"/>
          <w:i w:val="0"/>
          <w:sz w:val="18"/>
        </w:rPr>
        <w:t>Plan nacional de lectura y razonamiento matemático.</w:t>
      </w:r>
    </w:p>
    <w:p>
      <w:pPr>
        <w:ind w:left="360" w:hanging="288"/>
      </w:pPr>
      <w:r>
        <w:rPr>
          <w:b/>
          <w:i w:val="0"/>
          <w:color w:val="CFA96E"/>
        </w:rPr>
        <w:t xml:space="preserve">4. </w:t>
      </w:r>
      <w:r>
        <w:rPr>
          <w:b w:val="0"/>
          <w:i w:val="0"/>
          <w:sz w:val="18"/>
        </w:rPr>
        <w:t>Protocolo de escuela segura y ordenada.</w:t>
      </w:r>
    </w:p>
    <w:p>
      <w:pPr>
        <w:ind w:left="360" w:hanging="288"/>
      </w:pPr>
      <w:r>
        <w:rPr>
          <w:b/>
          <w:i w:val="0"/>
          <w:color w:val="CFA96E"/>
        </w:rPr>
        <w:t xml:space="preserve">5. </w:t>
      </w:r>
      <w:r>
        <w:rPr>
          <w:b w:val="0"/>
          <w:i w:val="0"/>
          <w:sz w:val="18"/>
        </w:rPr>
        <w:t>Agenda española para el Mediterráneo y frontera tecnológica.</w:t>
      </w:r>
    </w:p>
    <w:p>
      <w:pPr>
        <w:ind w:left="360" w:hanging="288"/>
      </w:pPr>
      <w:r>
        <w:rPr>
          <w:b/>
          <w:i w:val="0"/>
          <w:color w:val="CFA96E"/>
        </w:rPr>
        <w:t xml:space="preserve">6. </w:t>
      </w:r>
      <w:r>
        <w:rPr>
          <w:b w:val="0"/>
          <w:i w:val="0"/>
          <w:sz w:val="18"/>
        </w:rPr>
        <w:t>Plan de vivienda joven en suelo público con cartera de suelos.</w:t>
      </w:r>
    </w:p>
    <w:p>
      <w:pPr>
        <w:ind w:left="360" w:hanging="288"/>
      </w:pPr>
      <w:r>
        <w:rPr>
          <w:b/>
          <w:i w:val="0"/>
          <w:color w:val="CFA96E"/>
        </w:rPr>
        <w:t xml:space="preserve">7. </w:t>
      </w:r>
      <w:r>
        <w:rPr>
          <w:b w:val="0"/>
          <w:i w:val="0"/>
          <w:sz w:val="18"/>
        </w:rPr>
        <w:t>Proyecto de ley de integridad pública y registro de intereses.</w:t>
      </w:r>
    </w:p>
    <w:p>
      <w:pPr>
        <w:ind w:left="360" w:hanging="288"/>
      </w:pPr>
      <w:r>
        <w:rPr>
          <w:b/>
          <w:i w:val="0"/>
          <w:color w:val="CFA96E"/>
        </w:rPr>
        <w:t xml:space="preserve">8. </w:t>
      </w:r>
      <w:r>
        <w:rPr>
          <w:b w:val="0"/>
          <w:i w:val="0"/>
          <w:sz w:val="18"/>
        </w:rPr>
        <w:t>Mesa de energía competitiva para industria y extensión nuclear segura.</w:t>
      </w:r>
    </w:p>
    <w:p>
      <w:pPr>
        <w:ind w:left="360" w:hanging="288"/>
      </w:pPr>
      <w:r>
        <w:rPr>
          <w:b/>
          <w:i w:val="0"/>
          <w:color w:val="CFA96E"/>
        </w:rPr>
        <w:t xml:space="preserve">9. </w:t>
      </w:r>
      <w:r>
        <w:rPr>
          <w:b w:val="0"/>
          <w:i w:val="0"/>
          <w:sz w:val="18"/>
        </w:rPr>
        <w:t>Plan contra emergencias climáticas con inversión preventiva.</w:t>
      </w:r>
    </w:p>
    <w:p>
      <w:pPr>
        <w:ind w:left="360" w:hanging="288"/>
      </w:pPr>
      <w:r>
        <w:rPr>
          <w:b/>
          <w:i w:val="0"/>
          <w:color w:val="CFA96E"/>
        </w:rPr>
        <w:t xml:space="preserve">10. </w:t>
      </w:r>
      <w:r>
        <w:rPr>
          <w:b w:val="0"/>
          <w:i w:val="0"/>
          <w:sz w:val="18"/>
        </w:rPr>
        <w:t>Paquete de simplificación administrativa para ciudadanos, pymes y autónomos.</w:t>
      </w:r>
    </w:p>
    <w:p>
      <w:r>
        <w:rPr>
          <w:b/>
          <w:i w:val="0"/>
          <w:color w:val="233B5F"/>
          <w:sz w:val="22"/>
        </w:rPr>
        <w:t>Fuentes de referencia utilizadas para el diagnóstico</w:t>
      </w:r>
    </w:p>
    <w:p>
      <w:pPr>
        <w:pStyle w:val="Mini"/>
      </w:pPr>
      <w:r>
        <w:rPr>
          <w:b w:val="0"/>
          <w:i w:val="0"/>
          <w:color w:val="5A6473"/>
          <w:sz w:val="15"/>
        </w:rPr>
        <w:t>- INE: población, EPA, abandono educativo e Índice de Precios de Vivienda.</w:t>
      </w:r>
    </w:p>
    <w:p>
      <w:pPr>
        <w:pStyle w:val="Mini"/>
      </w:pPr>
      <w:r>
        <w:rPr>
          <w:b w:val="0"/>
          <w:i w:val="0"/>
          <w:color w:val="5A6473"/>
          <w:sz w:val="15"/>
        </w:rPr>
        <w:t>- Ministerio de Vivienda y Agenda Urbana: datos de vivienda y alquiler.</w:t>
      </w:r>
    </w:p>
    <w:p>
      <w:pPr>
        <w:pStyle w:val="Mini"/>
      </w:pPr>
      <w:r>
        <w:rPr>
          <w:b w:val="0"/>
          <w:i w:val="0"/>
          <w:color w:val="5A6473"/>
          <w:sz w:val="15"/>
        </w:rPr>
        <w:t>- MITECO: balance energético y producción renovable.</w:t>
      </w:r>
    </w:p>
    <w:p>
      <w:pPr>
        <w:pStyle w:val="Mini"/>
      </w:pPr>
      <w:r>
        <w:rPr>
          <w:b w:val="0"/>
          <w:i w:val="0"/>
          <w:color w:val="5A6473"/>
          <w:sz w:val="15"/>
        </w:rPr>
        <w:t>- Banco de España y AIReF: proyecciones macroeconómicas, deuda y sostenibilidad fiscal.</w:t>
      </w:r>
    </w:p>
    <w:p>
      <w:pPr>
        <w:pStyle w:val="Mini"/>
      </w:pPr>
      <w:r>
        <w:rPr>
          <w:b w:val="0"/>
          <w:i w:val="0"/>
          <w:color w:val="5A6473"/>
          <w:sz w:val="15"/>
        </w:rPr>
        <w:t>- Comisión Europea, Frontex y Ministerio del Interior: Pacto de Migración y Asilo, fronteras e inmigración irregular.</w:t>
      </w:r>
    </w:p>
    <w:p>
      <w:pPr>
        <w:pStyle w:val="Mini"/>
      </w:pPr>
      <w:r>
        <w:rPr>
          <w:b w:val="0"/>
          <w:i w:val="0"/>
          <w:color w:val="5A6473"/>
          <w:sz w:val="15"/>
        </w:rPr>
        <w:t>- OCDE e INEE: resultados PISA y evaluación educativa.</w:t>
      </w:r>
    </w:p>
    <w:p>
      <w:pPr>
        <w:jc w:val="center"/>
      </w:pPr>
      <w:r>
        <w:rPr>
          <w:b/>
          <w:i w:val="0"/>
          <w:color w:val="233B5F"/>
          <w:sz w:val="24"/>
        </w:rPr>
        <w:t>Fortaleza Europa</w:t>
      </w:r>
    </w:p>
    <w:p>
      <w:pPr>
        <w:jc w:val="center"/>
      </w:pPr>
      <w:r>
        <w:rPr>
          <w:b w:val="0"/>
          <w:i/>
          <w:color w:val="7E2E35"/>
          <w:sz w:val="19"/>
        </w:rPr>
        <w:t>Por una España con Alma, una Europa con Misión</w:t>
      </w:r>
    </w:p>
    <w:sectPr w:rsidR="00FC693F" w:rsidRPr="0006063C" w:rsidSect="00034616">
      <w:headerReference w:type="default" r:id="rId12"/>
      <w:footerReference w:type="default" r:id="rId13"/>
      <w:pgSz w:w="12240" w:h="15840"/>
      <w:pgMar w:top="1080" w:right="1037" w:bottom="936" w:left="103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pBdr>
        <w:bottom w:val="single" w:sz="4" w:space="1" w:color="E8EAF0"/>
      </w:pBdr>
    </w:pPr>
  </w:p>
  <w:tbl>
    <w:tblPr>
      <w:tblW w:type="auto" w:w="0"/>
      <w:jc w:val="center"/>
      <w:tblLayout w:type="fixed"/>
      <w:tblLook w:firstColumn="1" w:firstRow="1" w:lastColumn="0" w:lastRow="0" w:noHBand="0" w:noVBand="1" w:val="04A0"/>
    </w:tblPr>
    <w:tblGrid>
      <w:gridCol w:w="8064"/>
      <w:gridCol w:w="1296"/>
    </w:tblGrid>
    <w:tr>
      <w:tc>
        <w:tcPr>
          <w:tcW w:type="dxa" w:w="4680"/>
          <w:tcBorders>
            <w:top w:val="nil"/>
            <w:start w:val="nil"/>
            <w:bottom w:val="nil"/>
            <w:end w:val="nil"/>
            <w:insideH w:val="nil"/>
            <w:insideV w:val="nil"/>
          </w:tcBorders>
          <w:tcMar>
            <w:top w:w="0" w:type="dxa"/>
            <w:start w:w="0" w:type="dxa"/>
            <w:bottom w:w="0" w:type="dxa"/>
            <w:end w:w="0" w:type="dxa"/>
          </w:tcMar>
        </w:tcPr>
        <w:p>
          <w:r>
            <w:rPr>
              <w:b w:val="0"/>
              <w:i w:val="0"/>
              <w:color w:val="6B7280"/>
              <w:sz w:val="15"/>
            </w:rPr>
            <w:t>Documento programático - versión de campaña</w:t>
          </w:r>
        </w:p>
      </w:tc>
      <w:tc>
        <w:tcPr>
          <w:tcW w:type="dxa" w:w="4680"/>
          <w:tcBorders>
            <w:top w:val="nil"/>
            <w:start w:val="nil"/>
            <w:bottom w:val="nil"/>
            <w:end w:val="nil"/>
            <w:insideH w:val="nil"/>
            <w:insideV w:val="nil"/>
          </w:tcBorders>
          <w:tcMar>
            <w:top w:w="0" w:type="dxa"/>
            <w:start w:w="0" w:type="dxa"/>
            <w:bottom w:w="0" w:type="dxa"/>
            <w:end w:w="0" w:type="dxa"/>
          </w:tcMar>
        </w:tcPr>
        <w:p>
          <w:pPr>
            <w:jc w:val="right"/>
          </w:pPr>
          <w:r>
            <w:fldChar w:fldCharType="begin"/>
            <w:instrText xml:space="preserve">PAGE</w:instrText>
            <w:fldChar w:fldCharType="end"/>
          </w:r>
        </w:p>
      </w:tc>
    </w:tr>
  </w:tbl>
</w:ftr>
</file>

<file path=word/footer2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pBdr>
        <w:bottom w:val="single" w:sz="4" w:space="1" w:color="E8EAF0"/>
      </w:pBdr>
    </w:pPr>
  </w:p>
  <w:tbl>
    <w:tblPr>
      <w:tblW w:type="auto" w:w="0"/>
      <w:jc w:val="center"/>
      <w:tblLayout w:type="fixed"/>
      <w:tblLook w:firstColumn="1" w:firstRow="1" w:lastColumn="0" w:lastRow="0" w:noHBand="0" w:noVBand="1" w:val="04A0"/>
    </w:tblPr>
    <w:tblGrid>
      <w:gridCol w:w="8064"/>
      <w:gridCol w:w="1296"/>
    </w:tblGrid>
    <w:tr>
      <w:tc>
        <w:tcPr>
          <w:tcW w:type="dxa" w:w="4680"/>
          <w:tcBorders>
            <w:top w:val="nil"/>
            <w:start w:val="nil"/>
            <w:bottom w:val="nil"/>
            <w:end w:val="nil"/>
            <w:insideH w:val="nil"/>
            <w:insideV w:val="nil"/>
          </w:tcBorders>
          <w:tcMar>
            <w:top w:w="0" w:type="dxa"/>
            <w:start w:w="0" w:type="dxa"/>
            <w:bottom w:w="0" w:type="dxa"/>
            <w:end w:w="0" w:type="dxa"/>
          </w:tcMar>
        </w:tcPr>
        <w:p>
          <w:r>
            <w:rPr>
              <w:b w:val="0"/>
              <w:i w:val="0"/>
              <w:color w:val="6B7280"/>
              <w:sz w:val="15"/>
            </w:rPr>
            <w:t>Documento programático - versión de campaña</w:t>
          </w:r>
        </w:p>
      </w:tc>
      <w:tc>
        <w:tcPr>
          <w:tcW w:type="dxa" w:w="4680"/>
          <w:tcBorders>
            <w:top w:val="nil"/>
            <w:start w:val="nil"/>
            <w:bottom w:val="nil"/>
            <w:end w:val="nil"/>
            <w:insideH w:val="nil"/>
            <w:insideV w:val="nil"/>
          </w:tcBorders>
          <w:tcMar>
            <w:top w:w="0" w:type="dxa"/>
            <w:start w:w="0" w:type="dxa"/>
            <w:bottom w:w="0" w:type="dxa"/>
            <w:end w:w="0" w:type="dxa"/>
          </w:tcMar>
        </w:tcPr>
        <w:p>
          <w:pPr>
            <w:jc w:val="right"/>
          </w:pPr>
          <w:r>
            <w:fldChar w:fldCharType="begin"/>
            <w:instrText xml:space="preserve">PAGE</w:instrText>
            <w:fldChar w:fldCharType="end"/>
          </w:r>
        </w:p>
      </w:tc>
    </w:tr>
  </w:tbl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</w:pPr>
  </w:p>
  <w:tbl>
    <w:tblPr>
      <w:tblW w:type="auto" w:w="0"/>
      <w:jc w:val="center"/>
      <w:tblLayout w:type="fixed"/>
      <w:tblLook w:firstColumn="1" w:firstRow="1" w:lastColumn="0" w:lastRow="0" w:noHBand="0" w:noVBand="1" w:val="04A0"/>
    </w:tblPr>
    <w:tblGrid>
      <w:gridCol w:w="792"/>
      <w:gridCol w:w="8568"/>
    </w:tblGrid>
    <w:tr>
      <w:tc>
        <w:tcPr>
          <w:tcW w:type="dxa" w:w="4680"/>
          <w:tcBorders>
            <w:top w:val="nil"/>
            <w:start w:val="nil"/>
            <w:bottom w:val="nil"/>
            <w:end w:val="nil"/>
            <w:insideH w:val="nil"/>
            <w:insideV w:val="nil"/>
          </w:tcBorders>
        </w:tcPr>
        <w:p>
          <w:r>
            <w:drawing>
              <wp:inline xmlns:a="http://schemas.openxmlformats.org/drawingml/2006/main" xmlns:pic="http://schemas.openxmlformats.org/drawingml/2006/picture">
                <wp:extent cx="292608" cy="338678"/>
                <wp:docPr id="1" name="Picture 1"/>
                <wp:cNvGraphicFramePr>
                  <a:graphicFrameLocks noChangeAspect="1"/>
                </wp:cNvGraphicFramePr>
                <a:graphic>
                  <a:graphicData uri="http://schemas.openxmlformats.org/drawingml/2006/picture">
                    <pic:pic>
                      <pic:nvPicPr>
                        <pic:cNvPr id="0" name="fortaleza_europa_escudo_corregido.pn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92608" cy="338678"/>
                        </a:xfrm>
                        <a:prstGeom prst="rect"/>
                      </pic:spPr>
                    </pic:pic>
                  </a:graphicData>
                </a:graphic>
              </wp:inline>
            </w:drawing>
          </w:r>
        </w:p>
      </w:tc>
      <w:tc>
        <w:tcPr>
          <w:tcW w:type="dxa" w:w="4680"/>
          <w:tcBorders>
            <w:top w:val="nil"/>
            <w:start w:val="nil"/>
            <w:bottom w:val="nil"/>
            <w:end w:val="nil"/>
            <w:insideH w:val="nil"/>
            <w:insideV w:val="nil"/>
          </w:tcBorders>
        </w:tcPr>
        <w:p>
          <w:pPr>
            <w:jc w:val="right"/>
          </w:pPr>
          <w:r>
            <w:rPr>
              <w:b/>
              <w:i w:val="0"/>
              <w:color w:val="233B5F"/>
              <w:sz w:val="16"/>
            </w:rPr>
            <w:t>FORTALEZA EUROPA | Programa de Gobierno 2027</w:t>
          </w:r>
        </w:p>
      </w:tc>
    </w:tr>
  </w:tbl>
</w:hdr>
</file>

<file path=word/header2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</w:pPr>
  </w:p>
  <w:tbl>
    <w:tblPr>
      <w:tblW w:type="auto" w:w="0"/>
      <w:jc w:val="center"/>
      <w:tblLayout w:type="fixed"/>
      <w:tblLook w:firstColumn="1" w:firstRow="1" w:lastColumn="0" w:lastRow="0" w:noHBand="0" w:noVBand="1" w:val="04A0"/>
    </w:tblPr>
    <w:tblGrid>
      <w:gridCol w:w="792"/>
      <w:gridCol w:w="8568"/>
    </w:tblGrid>
    <w:tr>
      <w:tc>
        <w:tcPr>
          <w:tcW w:type="dxa" w:w="4680"/>
          <w:tcBorders>
            <w:top w:val="nil"/>
            <w:start w:val="nil"/>
            <w:bottom w:val="nil"/>
            <w:end w:val="nil"/>
            <w:insideH w:val="nil"/>
            <w:insideV w:val="nil"/>
          </w:tcBorders>
        </w:tcPr>
        <w:p>
          <w:r>
            <w:drawing>
              <wp:inline xmlns:a="http://schemas.openxmlformats.org/drawingml/2006/main" xmlns:pic="http://schemas.openxmlformats.org/drawingml/2006/picture">
                <wp:extent cx="292608" cy="338678"/>
                <wp:docPr id="1" name="Picture 1"/>
                <wp:cNvGraphicFramePr>
                  <a:graphicFrameLocks noChangeAspect="1"/>
                </wp:cNvGraphicFramePr>
                <a:graphic>
                  <a:graphicData uri="http://schemas.openxmlformats.org/drawingml/2006/picture">
                    <pic:pic>
                      <pic:nvPicPr>
                        <pic:cNvPr id="0" name="fortaleza_europa_escudo_corregido.pn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92608" cy="338678"/>
                        </a:xfrm>
                        <a:prstGeom prst="rect"/>
                      </pic:spPr>
                    </pic:pic>
                  </a:graphicData>
                </a:graphic>
              </wp:inline>
            </w:drawing>
          </w:r>
        </w:p>
      </w:tc>
      <w:tc>
        <w:tcPr>
          <w:tcW w:type="dxa" w:w="4680"/>
          <w:tcBorders>
            <w:top w:val="nil"/>
            <w:start w:val="nil"/>
            <w:bottom w:val="nil"/>
            <w:end w:val="nil"/>
            <w:insideH w:val="nil"/>
            <w:insideV w:val="nil"/>
          </w:tcBorders>
        </w:tcPr>
        <w:p>
          <w:pPr>
            <w:jc w:val="right"/>
          </w:pPr>
          <w:r>
            <w:rPr>
              <w:b/>
              <w:i w:val="0"/>
              <w:color w:val="233B5F"/>
              <w:sz w:val="16"/>
            </w:rPr>
            <w:t>FORTALEZA EUROPA | Programa de Gobierno 2027</w:t>
          </w:r>
        </w:p>
      </w:tc>
    </w:tr>
  </w:tbl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rial" w:hAnsi="Arial" w:eastAsia="Arial"/>
      <w:color w:val="1F2933"/>
      <w:sz w:val="1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Arial" w:hAnsi="Arial"/>
      <w:b/>
      <w:bCs/>
      <w:color w:val="233B5F"/>
      <w:sz w:val="40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Arial" w:hAnsi="Arial"/>
      <w:b/>
      <w:bCs/>
      <w:color w:val="7E2E35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Arial" w:hAnsi="Arial"/>
      <w:b/>
      <w:bCs/>
      <w:color w:val="233B5F"/>
      <w:sz w:val="2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  <w:rPr>
      <w:rFonts w:ascii="Arial" w:hAnsi="Arial" w:eastAsia="Arial"/>
      <w:color w:val="1F2933"/>
      <w:sz w:val="18"/>
    </w:r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CoverTitle">
    <w:name w:val="CoverTitle"/>
    <w:rPr>
      <w:rFonts w:ascii="Arial" w:hAnsi="Arial" w:eastAsia="Arial"/>
      <w:b/>
      <w:color w:val="233B5F"/>
      <w:sz w:val="52"/>
    </w:rPr>
  </w:style>
  <w:style w:type="paragraph" w:customStyle="1" w:styleId="CoverSubtitle">
    <w:name w:val="CoverSubtitle"/>
    <w:rPr>
      <w:rFonts w:ascii="Arial" w:hAnsi="Arial" w:eastAsia="Arial"/>
      <w:b w:val="0"/>
      <w:color w:val="7E2E35"/>
      <w:sz w:val="24"/>
    </w:rPr>
  </w:style>
  <w:style w:type="paragraph" w:customStyle="1" w:styleId="MeasureTitle">
    <w:name w:val="MeasureTitle"/>
    <w:rPr>
      <w:rFonts w:ascii="Arial" w:hAnsi="Arial" w:eastAsia="Arial"/>
      <w:b/>
      <w:color w:val="233B5F"/>
      <w:sz w:val="18"/>
    </w:rPr>
  </w:style>
  <w:style w:type="paragraph" w:customStyle="1" w:styleId="MeasureBody">
    <w:name w:val="MeasureBody"/>
    <w:rPr>
      <w:rFonts w:ascii="Arial" w:hAnsi="Arial" w:eastAsia="Arial"/>
      <w:b w:val="0"/>
      <w:color w:val="1F2933"/>
      <w:sz w:val="16"/>
    </w:rPr>
  </w:style>
  <w:style w:type="paragraph" w:customStyle="1" w:styleId="Tag">
    <w:name w:val="Tag"/>
    <w:rPr>
      <w:rFonts w:ascii="Arial" w:hAnsi="Arial" w:eastAsia="Arial"/>
      <w:b/>
      <w:color w:val="FFFFFF"/>
      <w:sz w:val="14"/>
    </w:rPr>
  </w:style>
  <w:style w:type="paragraph" w:customStyle="1" w:styleId="Mini">
    <w:name w:val="Mini"/>
    <w:rPr>
      <w:rFonts w:ascii="Arial" w:hAnsi="Arial" w:eastAsia="Arial"/>
      <w:b w:val="0"/>
      <w:color w:val="5A6473"/>
      <w:sz w:val="15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Relationship Id="rId11" Type="http://schemas.openxmlformats.org/officeDocument/2006/relationships/image" Target="media/image2.png"/><Relationship Id="rId12" Type="http://schemas.openxmlformats.org/officeDocument/2006/relationships/header" Target="header2.xml"/><Relationship Id="rId13" Type="http://schemas.openxmlformats.org/officeDocument/2006/relationships/footer" Target="footer2.xml"/></Relationships>
</file>

<file path=word/_rels/header1.xml.rels><?xml version='1.0' encoding='UTF-8' standalone='yes'?>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'1.0' encoding='UTF-8' standalone='yes'?>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Fortaleza Europa - Programa de Gobierno 2027: 100 medidas</dc:title>
  <dc:subject>Programa electoral ampliado</dc:subject>
  <dc:creator/>
  <cp:keywords/>
  <dc:description>Documento generado para revisión de campaña.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